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B463" w14:textId="4D534494" w:rsidR="00717F0F" w:rsidRPr="0014600A" w:rsidRDefault="00D27179">
      <w:pPr>
        <w:jc w:val="center"/>
        <w:rPr>
          <w:b/>
          <w:bCs/>
          <w:sz w:val="24"/>
          <w:szCs w:val="24"/>
          <w:u w:val="single"/>
        </w:rPr>
      </w:pPr>
      <w:r w:rsidRPr="0014600A">
        <w:rPr>
          <w:b/>
          <w:bCs/>
          <w:noProof/>
          <w:sz w:val="24"/>
          <w:szCs w:val="24"/>
          <w:u w:val="single"/>
        </w:rPr>
        <mc:AlternateContent>
          <mc:Choice Requires="wps">
            <w:drawing>
              <wp:anchor distT="45720" distB="45720" distL="114300" distR="114300" simplePos="0" relativeHeight="251658240" behindDoc="0" locked="0" layoutInCell="1" allowOverlap="1" wp14:anchorId="56DE50DA" wp14:editId="149EA4F1">
                <wp:simplePos x="0" y="0"/>
                <wp:positionH relativeFrom="margin">
                  <wp:posOffset>-118745</wp:posOffset>
                </wp:positionH>
                <wp:positionV relativeFrom="paragraph">
                  <wp:posOffset>338455</wp:posOffset>
                </wp:positionV>
                <wp:extent cx="6196965" cy="1104900"/>
                <wp:effectExtent l="0" t="0" r="0" b="0"/>
                <wp:wrapSquare wrapText="bothSides"/>
                <wp:docPr id="7168650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104900"/>
                        </a:xfrm>
                        <a:prstGeom prst="rect">
                          <a:avLst/>
                        </a:prstGeom>
                        <a:noFill/>
                        <a:ln w="9525">
                          <a:noFill/>
                          <a:miter lim="800000"/>
                          <a:headEnd/>
                          <a:tailEnd/>
                        </a:ln>
                      </wps:spPr>
                      <wps:txbx>
                        <w:txbxContent>
                          <w:p w14:paraId="75E14642" w14:textId="32CF7BD1" w:rsidR="00717F0F" w:rsidRPr="00582700" w:rsidRDefault="00717F0F" w:rsidP="00717F0F">
                            <w:pPr>
                              <w:jc w:val="right"/>
                              <w:rPr>
                                <w:color w:val="29347B"/>
                                <w:sz w:val="8"/>
                                <w:szCs w:val="8"/>
                              </w:rPr>
                            </w:pPr>
                            <w:r w:rsidRPr="00582700">
                              <w:rPr>
                                <w:rFonts w:ascii="Britannic Bold" w:hAnsi="Britannic Bold"/>
                                <w:b/>
                                <w:bCs/>
                                <w:caps/>
                                <w:color w:val="29347B"/>
                                <w:sz w:val="44"/>
                                <w:szCs w:val="44"/>
                              </w:rPr>
                              <w:t>Convention d’a</w:t>
                            </w:r>
                            <w:r>
                              <w:rPr>
                                <w:rFonts w:ascii="Britannic Bold" w:hAnsi="Britannic Bold"/>
                                <w:b/>
                                <w:bCs/>
                                <w:caps/>
                                <w:color w:val="29347B"/>
                                <w:sz w:val="44"/>
                                <w:szCs w:val="44"/>
                              </w:rPr>
                              <w:t>DH</w:t>
                            </w:r>
                            <w:r>
                              <w:rPr>
                                <w:rFonts w:cs="Calibri"/>
                                <w:b/>
                                <w:bCs/>
                                <w:caps/>
                                <w:color w:val="29347B"/>
                                <w:sz w:val="44"/>
                                <w:szCs w:val="44"/>
                              </w:rPr>
                              <w:t>É</w:t>
                            </w:r>
                            <w:r>
                              <w:rPr>
                                <w:rFonts w:ascii="Britannic Bold" w:hAnsi="Britannic Bold"/>
                                <w:b/>
                                <w:bCs/>
                                <w:caps/>
                                <w:color w:val="29347B"/>
                                <w:sz w:val="44"/>
                                <w:szCs w:val="44"/>
                              </w:rPr>
                              <w:t>SION</w:t>
                            </w:r>
                            <w:r w:rsidRPr="00582700">
                              <w:rPr>
                                <w:rFonts w:ascii="Britannic Bold" w:hAnsi="Britannic Bold"/>
                                <w:b/>
                                <w:bCs/>
                                <w:color w:val="29347B"/>
                                <w:sz w:val="44"/>
                                <w:szCs w:val="44"/>
                              </w:rPr>
                              <w:br/>
                            </w:r>
                            <w:bookmarkStart w:id="0" w:name="_Hlk115255768"/>
                            <w:r w:rsidRPr="00717F0F">
                              <w:rPr>
                                <w:rFonts w:ascii="Britannic Bold" w:hAnsi="Britannic Bold"/>
                                <w:b/>
                                <w:bCs/>
                                <w:color w:val="29347B"/>
                                <w:sz w:val="40"/>
                                <w:szCs w:val="40"/>
                              </w:rPr>
                              <w:t>Dispositif de</w:t>
                            </w:r>
                            <w:bookmarkEnd w:id="0"/>
                            <w:r w:rsidRPr="00717F0F">
                              <w:rPr>
                                <w:rFonts w:ascii="Britannic Bold" w:hAnsi="Britannic Bold"/>
                                <w:b/>
                                <w:bCs/>
                                <w:color w:val="29347B"/>
                                <w:sz w:val="40"/>
                                <w:szCs w:val="40"/>
                              </w:rPr>
                              <w:t xml:space="preserve"> signalement des actes de violence, discrimination, harcèlement et agissements sexistes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E50DA" id="_x0000_t202" coordsize="21600,21600" o:spt="202" path="m,l,21600r21600,l21600,xe">
                <v:stroke joinstyle="miter"/>
                <v:path gradientshapeok="t" o:connecttype="rect"/>
              </v:shapetype>
              <v:shape id="Zone de texte 2" o:spid="_x0000_s1026" type="#_x0000_t202" style="position:absolute;left:0;text-align:left;margin-left:-9.35pt;margin-top:26.65pt;width:487.95pt;height: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" filled="f" stroked="f">
                <v:textbox>
                  <w:txbxContent>
                    <w:p w14:paraId="75E14642" w14:textId="32CF7BD1" w:rsidR="00717F0F" w:rsidRPr="00582700" w:rsidRDefault="00717F0F" w:rsidP="00717F0F">
                      <w:pPr>
                        <w:jc w:val="right"/>
                        <w:rPr>
                          <w:color w:val="29347B"/>
                          <w:sz w:val="8"/>
                          <w:szCs w:val="8"/>
                        </w:rPr>
                      </w:pPr>
                      <w:r w:rsidRPr="00582700">
                        <w:rPr>
                          <w:rFonts w:ascii="Britannic Bold" w:hAnsi="Britannic Bold"/>
                          <w:b/>
                          <w:bCs/>
                          <w:caps/>
                          <w:color w:val="29347B"/>
                          <w:sz w:val="44"/>
                          <w:szCs w:val="44"/>
                        </w:rPr>
                        <w:t>Convention d’a</w:t>
                      </w:r>
                      <w:r>
                        <w:rPr>
                          <w:rFonts w:ascii="Britannic Bold" w:hAnsi="Britannic Bold"/>
                          <w:b/>
                          <w:bCs/>
                          <w:caps/>
                          <w:color w:val="29347B"/>
                          <w:sz w:val="44"/>
                          <w:szCs w:val="44"/>
                        </w:rPr>
                        <w:t>DH</w:t>
                      </w:r>
                      <w:r>
                        <w:rPr>
                          <w:rFonts w:cs="Calibri"/>
                          <w:b/>
                          <w:bCs/>
                          <w:caps/>
                          <w:color w:val="29347B"/>
                          <w:sz w:val="44"/>
                          <w:szCs w:val="44"/>
                        </w:rPr>
                        <w:t>É</w:t>
                      </w:r>
                      <w:r>
                        <w:rPr>
                          <w:rFonts w:ascii="Britannic Bold" w:hAnsi="Britannic Bold"/>
                          <w:b/>
                          <w:bCs/>
                          <w:caps/>
                          <w:color w:val="29347B"/>
                          <w:sz w:val="44"/>
                          <w:szCs w:val="44"/>
                        </w:rPr>
                        <w:t>SION</w:t>
                      </w:r>
                      <w:r w:rsidRPr="00582700">
                        <w:rPr>
                          <w:rFonts w:ascii="Britannic Bold" w:hAnsi="Britannic Bold"/>
                          <w:b/>
                          <w:bCs/>
                          <w:color w:val="29347B"/>
                          <w:sz w:val="44"/>
                          <w:szCs w:val="44"/>
                        </w:rPr>
                        <w:br/>
                      </w:r>
                      <w:bookmarkStart w:id="1" w:name="_Hlk115255768"/>
                      <w:r w:rsidRPr="00717F0F">
                        <w:rPr>
                          <w:rFonts w:ascii="Britannic Bold" w:hAnsi="Britannic Bold"/>
                          <w:b/>
                          <w:bCs/>
                          <w:color w:val="29347B"/>
                          <w:sz w:val="40"/>
                          <w:szCs w:val="40"/>
                        </w:rPr>
                        <w:t>Dispositif de</w:t>
                      </w:r>
                      <w:bookmarkEnd w:id="1"/>
                      <w:r w:rsidRPr="00717F0F">
                        <w:rPr>
                          <w:rFonts w:ascii="Britannic Bold" w:hAnsi="Britannic Bold"/>
                          <w:b/>
                          <w:bCs/>
                          <w:color w:val="29347B"/>
                          <w:sz w:val="40"/>
                          <w:szCs w:val="40"/>
                        </w:rPr>
                        <w:t xml:space="preserve"> signalement des actes de violence, discrimination, harcèlement et agissements sexistes</w:t>
                      </w:r>
                    </w:p>
                  </w:txbxContent>
                </v:textbox>
                <w10:wrap type="square" anchorx="margin"/>
              </v:shape>
            </w:pict>
          </mc:Fallback>
        </mc:AlternateContent>
      </w:r>
    </w:p>
    <w:p w14:paraId="39B82FF1" w14:textId="0E7AB5D7" w:rsidR="00804E1F" w:rsidRPr="0014600A" w:rsidRDefault="00D27179" w:rsidP="00717F0F">
      <w:pPr>
        <w:jc w:val="center"/>
        <w:rPr>
          <w:b/>
          <w:bCs/>
          <w:sz w:val="24"/>
          <w:szCs w:val="24"/>
          <w:u w:val="single"/>
        </w:rPr>
      </w:pPr>
      <w:r w:rsidRPr="0014600A">
        <w:rPr>
          <w:b/>
          <w:bCs/>
          <w:noProof/>
          <w:sz w:val="24"/>
          <w:szCs w:val="24"/>
          <w:u w:val="single"/>
        </w:rPr>
        <mc:AlternateContent>
          <mc:Choice Requires="wps">
            <w:drawing>
              <wp:anchor distT="4294967294" distB="4294967294" distL="114300" distR="114300" simplePos="0" relativeHeight="251659264" behindDoc="0" locked="0" layoutInCell="1" allowOverlap="1" wp14:anchorId="13664E80" wp14:editId="5C7802F5">
                <wp:simplePos x="0" y="0"/>
                <wp:positionH relativeFrom="page">
                  <wp:posOffset>3642360</wp:posOffset>
                </wp:positionH>
                <wp:positionV relativeFrom="paragraph">
                  <wp:posOffset>1302385</wp:posOffset>
                </wp:positionV>
                <wp:extent cx="3228975" cy="0"/>
                <wp:effectExtent l="0" t="0" r="0" b="0"/>
                <wp:wrapNone/>
                <wp:docPr id="2132927648"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8975" cy="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81F4AE" id="Connecteur droit 3" o:spid="_x0000_s1026" style="position:absolute;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86.8pt,102.55pt" to="541.0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" strokecolor="#4472c4" strokeweight="1pt">
                <v:stroke joinstyle="miter"/>
                <o:lock v:ext="edit" shapetype="f"/>
                <w10:wrap anchorx="page"/>
              </v:line>
            </w:pict>
          </mc:Fallback>
        </mc:AlternateContent>
      </w:r>
    </w:p>
    <w:p w14:paraId="1CFE88D5" w14:textId="77777777" w:rsidR="00D27179" w:rsidRPr="0014600A" w:rsidRDefault="00D27179">
      <w:pPr>
        <w:jc w:val="both"/>
        <w:rPr>
          <w:b/>
          <w:bCs/>
          <w:u w:val="single"/>
        </w:rPr>
      </w:pPr>
    </w:p>
    <w:p w14:paraId="6A13F8C8" w14:textId="62D192ED" w:rsidR="00804E1F" w:rsidRPr="0014600A" w:rsidRDefault="00C349DF">
      <w:pPr>
        <w:jc w:val="both"/>
        <w:rPr>
          <w:b/>
          <w:bCs/>
          <w:u w:val="single"/>
        </w:rPr>
      </w:pPr>
      <w:r w:rsidRPr="0014600A">
        <w:rPr>
          <w:b/>
          <w:bCs/>
          <w:u w:val="single"/>
        </w:rPr>
        <w:t xml:space="preserve">PREAMBULE : </w:t>
      </w:r>
    </w:p>
    <w:p w14:paraId="1B3BEE65" w14:textId="1E91E073" w:rsidR="00804E1F" w:rsidRPr="0014600A" w:rsidRDefault="00C349DF">
      <w:pPr>
        <w:jc w:val="both"/>
      </w:pPr>
      <w:r w:rsidRPr="0014600A">
        <w:t>Afin d’assurer un traitement des situations de violence et de discrimination, la loi du 6 août 2019 de transformation de la fonction publique a complété le statut des agents des trois fonctions publiques et prévoit la mise en place obligatoire par tous les employeurs publics d’un dispositif spécifique, à l’adresse des agents victimes ou témoins de tels actes.</w:t>
      </w:r>
    </w:p>
    <w:p w14:paraId="65355515" w14:textId="05B376C5" w:rsidR="00804E1F" w:rsidRPr="0014600A" w:rsidRDefault="00C349DF">
      <w:pPr>
        <w:jc w:val="both"/>
      </w:pPr>
      <w:r w:rsidRPr="0014600A">
        <w:t xml:space="preserve">Les Centres de Gestion, tiers de confiance et organes de mutualisation, sont chargés par le législateur de proposer un dispositif de signalement aux collectivités et établissements qui le souhaitent, leur positionnement au service des collectivités, notamment en matière juridique, de santé et de prévention légitimant pleinement cette nouvelle compétence sur le dispositif de signalement des actes de violence, de discrimination, de harcèlement et d’agissements sexistes. </w:t>
      </w:r>
    </w:p>
    <w:p w14:paraId="4A0DEFE7" w14:textId="77777777" w:rsidR="00804E1F" w:rsidRPr="0014600A" w:rsidRDefault="00C349DF">
      <w:pPr>
        <w:jc w:val="both"/>
      </w:pPr>
      <w:r w:rsidRPr="0014600A">
        <w:t xml:space="preserve">Le décret n°2020-256 du 13 mars 2020 précise les conditions d’application de cette obligation. </w:t>
      </w:r>
    </w:p>
    <w:p w14:paraId="13B952A1" w14:textId="77777777" w:rsidR="00804E1F" w:rsidRPr="0014600A" w:rsidRDefault="00C349DF">
      <w:pPr>
        <w:jc w:val="both"/>
        <w:rPr>
          <w:b/>
          <w:bCs/>
          <w:u w:val="single"/>
        </w:rPr>
      </w:pPr>
      <w:r w:rsidRPr="0014600A">
        <w:rPr>
          <w:b/>
          <w:bCs/>
          <w:u w:val="single"/>
        </w:rPr>
        <w:t xml:space="preserve">ENTRE : </w:t>
      </w:r>
    </w:p>
    <w:p w14:paraId="47A39892" w14:textId="172ADF9F" w:rsidR="00804E1F" w:rsidRPr="0014600A" w:rsidRDefault="00C349DF">
      <w:pPr>
        <w:jc w:val="both"/>
      </w:pPr>
      <w:r w:rsidRPr="0014600A">
        <w:t>Le Centre de Gestion de la Fonction Publique Territoriale de l’Indre (</w:t>
      </w:r>
      <w:r w:rsidRPr="0014600A">
        <w:rPr>
          <w:i/>
          <w:iCs/>
        </w:rPr>
        <w:t>désigné Centre de Gestion de l’Indre dans la suite du texte</w:t>
      </w:r>
      <w:r w:rsidRPr="0014600A">
        <w:t>) dont le siège est situé 21 rue Bourdillon – 36000 CHATEAUROUX, représenté par son Président, Xavier ELBAZ, dûment habilité par délibération du Conseil d’Administratio</w:t>
      </w:r>
      <w:r w:rsidR="00D27179" w:rsidRPr="0014600A">
        <w:t>n du 20 juin 2023</w:t>
      </w:r>
      <w:r w:rsidRPr="0014600A">
        <w:t xml:space="preserve"> d’une part, </w:t>
      </w:r>
    </w:p>
    <w:p w14:paraId="6A20E7B6" w14:textId="77777777" w:rsidR="00804E1F" w:rsidRPr="0014600A" w:rsidRDefault="00C349DF">
      <w:pPr>
        <w:jc w:val="both"/>
        <w:rPr>
          <w:b/>
          <w:bCs/>
          <w:sz w:val="24"/>
          <w:szCs w:val="24"/>
          <w:u w:val="single"/>
        </w:rPr>
      </w:pPr>
      <w:r w:rsidRPr="0014600A">
        <w:rPr>
          <w:b/>
          <w:bCs/>
          <w:sz w:val="24"/>
          <w:szCs w:val="24"/>
          <w:u w:val="single"/>
        </w:rPr>
        <w:t xml:space="preserve">ET : </w:t>
      </w:r>
    </w:p>
    <w:p w14:paraId="0B6626AF" w14:textId="77777777" w:rsidR="00804E1F" w:rsidRPr="0014600A" w:rsidRDefault="00C349DF">
      <w:pPr>
        <w:jc w:val="both"/>
      </w:pPr>
      <w:r w:rsidRPr="0014600A">
        <w:t xml:space="preserve">La </w:t>
      </w:r>
      <w:r w:rsidRPr="0014600A">
        <w:rPr>
          <w:shd w:val="clear" w:color="auto" w:fill="FFFF00"/>
        </w:rPr>
        <w:t>Commune/ l’établissement</w:t>
      </w:r>
      <w:r w:rsidRPr="0014600A">
        <w:t xml:space="preserve"> de</w:t>
      </w:r>
      <w:r w:rsidRPr="0014600A">
        <w:rPr>
          <w:shd w:val="clear" w:color="auto" w:fill="FFFF00"/>
        </w:rPr>
        <w:t>……………………………</w:t>
      </w:r>
      <w:proofErr w:type="gramStart"/>
      <w:r w:rsidRPr="0014600A">
        <w:rPr>
          <w:shd w:val="clear" w:color="auto" w:fill="FFFF00"/>
        </w:rPr>
        <w:t>…….</w:t>
      </w:r>
      <w:proofErr w:type="gramEnd"/>
      <w:r w:rsidRPr="0014600A">
        <w:rPr>
          <w:shd w:val="clear" w:color="auto" w:fill="FFFF00"/>
        </w:rPr>
        <w:t>.</w:t>
      </w:r>
      <w:r w:rsidRPr="0014600A">
        <w:t>dont le siège est situé</w:t>
      </w:r>
      <w:r w:rsidRPr="0014600A">
        <w:rPr>
          <w:shd w:val="clear" w:color="auto" w:fill="FFFF00"/>
        </w:rPr>
        <w:t>…………………………………..</w:t>
      </w:r>
      <w:r w:rsidRPr="0014600A">
        <w:t xml:space="preserve">, représenté par </w:t>
      </w:r>
      <w:r w:rsidRPr="0014600A">
        <w:rPr>
          <w:shd w:val="clear" w:color="auto" w:fill="FFFF00"/>
        </w:rPr>
        <w:t>son Maire/ son Président/ sa Présidente</w:t>
      </w:r>
      <w:r w:rsidRPr="0014600A">
        <w:t xml:space="preserve">, </w:t>
      </w:r>
      <w:r w:rsidRPr="0014600A">
        <w:rPr>
          <w:shd w:val="clear" w:color="auto" w:fill="FFFF00"/>
        </w:rPr>
        <w:t>…………………………</w:t>
      </w:r>
      <w:r w:rsidRPr="0014600A">
        <w:t xml:space="preserve">dûment habilité par délibération du </w:t>
      </w:r>
      <w:r w:rsidRPr="0014600A">
        <w:rPr>
          <w:shd w:val="clear" w:color="auto" w:fill="FFFF00"/>
        </w:rPr>
        <w:t>Conseil Municipal/ du Conseil…………………..n°………………….du……………….,</w:t>
      </w:r>
      <w:r w:rsidRPr="0014600A">
        <w:t xml:space="preserve"> d’autre part, </w:t>
      </w:r>
    </w:p>
    <w:p w14:paraId="68E6BAD3" w14:textId="77777777" w:rsidR="00804E1F" w:rsidRPr="0014600A" w:rsidRDefault="00C349DF">
      <w:pPr>
        <w:jc w:val="both"/>
      </w:pPr>
      <w:r w:rsidRPr="0014600A">
        <w:t xml:space="preserve">Vu le Code Général de la Fonction Publique et notamment son article L.135-6 et L.452-43, </w:t>
      </w:r>
    </w:p>
    <w:p w14:paraId="769A13C8" w14:textId="77777777" w:rsidR="00804E1F" w:rsidRPr="0014600A" w:rsidRDefault="00C349DF">
      <w:pPr>
        <w:jc w:val="both"/>
      </w:pPr>
      <w:r w:rsidRPr="0014600A">
        <w:t xml:space="preserve">Vu le décret n°85-603 du 10 juin 1985 relatif à l’hygiène et à la sécurité du travail ainsi qu’à la médecine </w:t>
      </w:r>
      <w:proofErr w:type="gramStart"/>
      <w:r w:rsidRPr="0014600A">
        <w:t>professionnelle</w:t>
      </w:r>
      <w:proofErr w:type="gramEnd"/>
      <w:r w:rsidRPr="0014600A">
        <w:t xml:space="preserve"> et préventive dans la fonction publique territoriale, </w:t>
      </w:r>
    </w:p>
    <w:p w14:paraId="0FF5C56A" w14:textId="77777777" w:rsidR="00804E1F" w:rsidRPr="0014600A" w:rsidRDefault="00C349DF">
      <w:pPr>
        <w:jc w:val="both"/>
      </w:pPr>
      <w:r w:rsidRPr="0014600A">
        <w:t xml:space="preserve">Vu le décret n°2020-256 du 13 mars 2020 relatif au dispositif de signalement des actes de violence, de discrimination, de harcèlement et d’agissements sexistes dans la fonction publique, </w:t>
      </w:r>
    </w:p>
    <w:p w14:paraId="62A31A65" w14:textId="77777777" w:rsidR="00804E1F" w:rsidRPr="0014600A" w:rsidRDefault="00C349DF">
      <w:pPr>
        <w:jc w:val="both"/>
      </w:pPr>
      <w:r w:rsidRPr="0014600A">
        <w:t xml:space="preserve">Vu la circulaire du 9 mars 2018 relative à la lutte contre les violences sexuelles et sexistes dans la fonction publique, </w:t>
      </w:r>
    </w:p>
    <w:p w14:paraId="263878F3" w14:textId="77777777" w:rsidR="00804E1F" w:rsidRPr="0014600A" w:rsidRDefault="00C349DF">
      <w:pPr>
        <w:jc w:val="both"/>
      </w:pPr>
      <w:r w:rsidRPr="0014600A">
        <w:t xml:space="preserve">Vu la fiche explicative de la Direction Générale de l’Administration et de la Fonction Publique relative à la présentation du dispositif de signalement des actes de violence, de discrimination, de harcèlement et d’agissements sexistes dans la fonction publique, </w:t>
      </w:r>
    </w:p>
    <w:p w14:paraId="5F84B71A" w14:textId="6411F6CD" w:rsidR="00804E1F" w:rsidRPr="0014600A" w:rsidRDefault="00C349DF">
      <w:pPr>
        <w:jc w:val="both"/>
      </w:pPr>
      <w:r w:rsidRPr="0014600A">
        <w:t>Vu la délibération du Conseil d’Administration du Centre de Gestion de l’Indre n</w:t>
      </w:r>
      <w:r w:rsidR="00353696" w:rsidRPr="00353696">
        <w:t xml:space="preserve"> </w:t>
      </w:r>
      <w:r w:rsidR="00353696">
        <w:t xml:space="preserve">l’Indre CA-2023-28 en date </w:t>
      </w:r>
      <w:r w:rsidR="00353696" w:rsidRPr="00353696">
        <w:t>du 20 juin</w:t>
      </w:r>
      <w:r w:rsidR="00353696">
        <w:t xml:space="preserve"> </w:t>
      </w:r>
      <w:r w:rsidR="00353696">
        <w:t xml:space="preserve">2023 </w:t>
      </w:r>
      <w:r w:rsidR="00353696" w:rsidRPr="0014600A">
        <w:t>relative</w:t>
      </w:r>
      <w:r w:rsidRPr="0014600A">
        <w:t xml:space="preserve"> à la mise en œuvre du dispositif de signalement des actes de violence, de </w:t>
      </w:r>
      <w:r w:rsidRPr="0014600A">
        <w:lastRenderedPageBreak/>
        <w:t xml:space="preserve">discrimination, de harcèlement et d’agissements sexistes et autorisant le Président du Centre de Gestion ou son représentant à signer la présente convention, </w:t>
      </w:r>
    </w:p>
    <w:p w14:paraId="01713C76" w14:textId="77777777" w:rsidR="00804E1F" w:rsidRPr="0014600A" w:rsidRDefault="00C349DF">
      <w:pPr>
        <w:jc w:val="both"/>
      </w:pPr>
      <w:r w:rsidRPr="0014600A">
        <w:t>Vu la délibération n°</w:t>
      </w:r>
      <w:r w:rsidRPr="0014600A">
        <w:rPr>
          <w:shd w:val="clear" w:color="auto" w:fill="FFFF00"/>
        </w:rPr>
        <w:t>……………</w:t>
      </w:r>
      <w:r w:rsidRPr="0014600A">
        <w:t xml:space="preserve"> en date du</w:t>
      </w:r>
      <w:r w:rsidRPr="0014600A">
        <w:rPr>
          <w:shd w:val="clear" w:color="auto" w:fill="FFFF00"/>
        </w:rPr>
        <w:t>……………</w:t>
      </w:r>
      <w:r w:rsidRPr="0014600A">
        <w:t xml:space="preserve"> autorisant </w:t>
      </w:r>
      <w:r w:rsidRPr="0014600A">
        <w:rPr>
          <w:shd w:val="clear" w:color="auto" w:fill="FFFF00"/>
        </w:rPr>
        <w:t>le Maire/ le Président/ la Présidente de…</w:t>
      </w:r>
      <w:proofErr w:type="gramStart"/>
      <w:r w:rsidRPr="0014600A">
        <w:rPr>
          <w:shd w:val="clear" w:color="auto" w:fill="FFFF00"/>
        </w:rPr>
        <w:t>…….</w:t>
      </w:r>
      <w:proofErr w:type="gramEnd"/>
      <w:r w:rsidRPr="0014600A">
        <w:rPr>
          <w:shd w:val="clear" w:color="auto" w:fill="FFFF00"/>
        </w:rPr>
        <w:t>.</w:t>
      </w:r>
      <w:r w:rsidRPr="0014600A">
        <w:t xml:space="preserve">à signer la présente convention, </w:t>
      </w:r>
    </w:p>
    <w:p w14:paraId="70293070" w14:textId="77777777" w:rsidR="00804E1F" w:rsidRPr="0014600A" w:rsidRDefault="00C349DF">
      <w:pPr>
        <w:jc w:val="both"/>
      </w:pPr>
      <w:r w:rsidRPr="0014600A">
        <w:t xml:space="preserve">Vu l’information en formation spécialisée du Comité Social Territorial en date du 16 octobre 2023, </w:t>
      </w:r>
    </w:p>
    <w:p w14:paraId="77343405" w14:textId="77777777" w:rsidR="00804E1F" w:rsidRPr="0014600A" w:rsidRDefault="00C349DF">
      <w:pPr>
        <w:jc w:val="both"/>
        <w:rPr>
          <w:b/>
          <w:bCs/>
        </w:rPr>
      </w:pPr>
      <w:r w:rsidRPr="0014600A">
        <w:rPr>
          <w:b/>
          <w:bCs/>
        </w:rPr>
        <w:t xml:space="preserve">Il est convenu ce qui suit : </w:t>
      </w:r>
    </w:p>
    <w:p w14:paraId="0D5A4B38" w14:textId="77777777" w:rsidR="00717F0F" w:rsidRPr="0014600A" w:rsidRDefault="00717F0F">
      <w:pPr>
        <w:jc w:val="both"/>
        <w:rPr>
          <w:b/>
          <w:bCs/>
        </w:rPr>
      </w:pPr>
    </w:p>
    <w:p w14:paraId="28BC8872" w14:textId="77777777" w:rsidR="00804E1F" w:rsidRPr="0014600A" w:rsidRDefault="00C349DF" w:rsidP="00717F0F">
      <w:pPr>
        <w:suppressAutoHyphens w:val="0"/>
        <w:autoSpaceDN/>
        <w:spacing w:after="240"/>
        <w:jc w:val="both"/>
        <w:textAlignment w:val="auto"/>
        <w:rPr>
          <w:rFonts w:cs="Calibri"/>
          <w:b/>
          <w:bCs/>
          <w:color w:val="29347B"/>
          <w:sz w:val="24"/>
          <w:szCs w:val="24"/>
        </w:rPr>
      </w:pPr>
      <w:r w:rsidRPr="0014600A">
        <w:rPr>
          <w:rFonts w:cs="Calibri"/>
          <w:b/>
          <w:bCs/>
          <w:color w:val="29347B"/>
          <w:sz w:val="24"/>
          <w:szCs w:val="24"/>
          <w:u w:val="single"/>
        </w:rPr>
        <w:t>ARTICLE 1</w:t>
      </w:r>
      <w:r w:rsidRPr="0014600A">
        <w:rPr>
          <w:rFonts w:cs="Calibri"/>
          <w:b/>
          <w:bCs/>
          <w:color w:val="29347B"/>
          <w:sz w:val="24"/>
          <w:szCs w:val="24"/>
        </w:rPr>
        <w:t xml:space="preserve"> : OBJET DE LA CONVENTION </w:t>
      </w:r>
    </w:p>
    <w:p w14:paraId="63CB5527" w14:textId="77777777" w:rsidR="00804E1F" w:rsidRPr="0014600A" w:rsidRDefault="00C349DF">
      <w:pPr>
        <w:jc w:val="both"/>
      </w:pPr>
      <w:r w:rsidRPr="0014600A">
        <w:t xml:space="preserve">La présente convention s’inscrit dans le cadre des dispositions du Code Général de la Fonction Publique ainsi que du décret n°2020-256 du 13 mars 2020. </w:t>
      </w:r>
    </w:p>
    <w:p w14:paraId="0A8EADE9" w14:textId="77777777" w:rsidR="00804E1F" w:rsidRPr="0014600A" w:rsidRDefault="00C349DF" w:rsidP="00D27179">
      <w:pPr>
        <w:jc w:val="both"/>
      </w:pPr>
      <w:r w:rsidRPr="0014600A">
        <w:t xml:space="preserve">La présente convention a pour objet de préciser les conditions générales d’adhésion de la </w:t>
      </w:r>
      <w:r w:rsidRPr="0014600A">
        <w:rPr>
          <w:shd w:val="clear" w:color="auto" w:fill="FFFF00"/>
        </w:rPr>
        <w:t>collectivité/ de l’établissement</w:t>
      </w:r>
      <w:r w:rsidRPr="0014600A">
        <w:t xml:space="preserve"> au dispositif de signalement des actes de violence, de discrimination, de harcèlement et d’agissements sexistes proposé par le Centre de Gestion de l’Indre. </w:t>
      </w:r>
    </w:p>
    <w:p w14:paraId="1EB276F9" w14:textId="6D40FC48" w:rsidR="00804E1F" w:rsidRPr="0014600A" w:rsidRDefault="00C349DF" w:rsidP="00D27179">
      <w:pPr>
        <w:suppressAutoHyphens w:val="0"/>
        <w:autoSpaceDN/>
        <w:spacing w:before="360" w:after="240"/>
        <w:jc w:val="both"/>
        <w:textAlignment w:val="auto"/>
        <w:rPr>
          <w:rFonts w:cs="Calibri"/>
          <w:b/>
          <w:bCs/>
          <w:color w:val="29347B"/>
          <w:sz w:val="24"/>
          <w:szCs w:val="24"/>
          <w:u w:val="single"/>
        </w:rPr>
      </w:pPr>
      <w:r w:rsidRPr="0014600A">
        <w:rPr>
          <w:rFonts w:cs="Calibri"/>
          <w:b/>
          <w:bCs/>
          <w:color w:val="29347B"/>
          <w:sz w:val="24"/>
          <w:szCs w:val="24"/>
          <w:u w:val="single"/>
        </w:rPr>
        <w:t>ARTICLE 2 </w:t>
      </w:r>
      <w:r w:rsidRPr="0014600A">
        <w:rPr>
          <w:rFonts w:cs="Calibri"/>
          <w:b/>
          <w:bCs/>
          <w:color w:val="29347B"/>
          <w:sz w:val="24"/>
          <w:szCs w:val="24"/>
        </w:rPr>
        <w:t>: LES AGISSEMENTS RELEVANT DU DISPOSITIF</w:t>
      </w:r>
      <w:r w:rsidRPr="0014600A">
        <w:rPr>
          <w:rFonts w:cs="Calibri"/>
          <w:b/>
          <w:bCs/>
          <w:color w:val="29347B"/>
          <w:sz w:val="24"/>
          <w:szCs w:val="24"/>
          <w:u w:val="single"/>
        </w:rPr>
        <w:t xml:space="preserve"> </w:t>
      </w:r>
    </w:p>
    <w:p w14:paraId="3F8AF231" w14:textId="3BD65255" w:rsidR="00804E1F" w:rsidRPr="0014600A" w:rsidRDefault="00C349DF">
      <w:pPr>
        <w:jc w:val="both"/>
      </w:pPr>
      <w:r w:rsidRPr="0014600A">
        <w:t xml:space="preserve">Les agissements relevant du dispositif sont les suivants : </w:t>
      </w:r>
    </w:p>
    <w:p w14:paraId="507A236F" w14:textId="77777777" w:rsidR="00804E1F" w:rsidRPr="0014600A" w:rsidRDefault="00C349DF">
      <w:pPr>
        <w:pStyle w:val="Paragraphedeliste"/>
        <w:numPr>
          <w:ilvl w:val="0"/>
          <w:numId w:val="1"/>
        </w:numPr>
        <w:jc w:val="both"/>
        <w:rPr>
          <w:b/>
          <w:bCs/>
        </w:rPr>
      </w:pPr>
      <w:r w:rsidRPr="0014600A">
        <w:rPr>
          <w:b/>
          <w:bCs/>
        </w:rPr>
        <w:t xml:space="preserve">Actes de violence </w:t>
      </w:r>
    </w:p>
    <w:p w14:paraId="78AE26CC" w14:textId="77777777" w:rsidR="00804E1F" w:rsidRPr="0014600A" w:rsidRDefault="00C349DF">
      <w:pPr>
        <w:jc w:val="both"/>
      </w:pPr>
      <w:r w:rsidRPr="0014600A">
        <w:t xml:space="preserve">Ensemble d’attitudes manifestant de l’hostilité ou de l’agressivité, volontairement ou non, sur la personne d’autrui ou sur des biens. Ils peuvent être verbaux ou physiques qui entrainent, ou non, une incapacité temporaire de travail. </w:t>
      </w:r>
    </w:p>
    <w:p w14:paraId="4C135945" w14:textId="77777777" w:rsidR="00804E1F" w:rsidRPr="0014600A" w:rsidRDefault="00C349DF">
      <w:pPr>
        <w:pStyle w:val="Paragraphedeliste"/>
        <w:numPr>
          <w:ilvl w:val="0"/>
          <w:numId w:val="1"/>
        </w:numPr>
        <w:jc w:val="both"/>
        <w:rPr>
          <w:b/>
          <w:bCs/>
        </w:rPr>
      </w:pPr>
      <w:r w:rsidRPr="0014600A">
        <w:rPr>
          <w:b/>
          <w:bCs/>
        </w:rPr>
        <w:t xml:space="preserve">Actes de discrimination </w:t>
      </w:r>
    </w:p>
    <w:p w14:paraId="1D547AF8" w14:textId="77777777" w:rsidR="00804E1F" w:rsidRPr="0014600A" w:rsidRDefault="00C349DF">
      <w:pPr>
        <w:jc w:val="both"/>
      </w:pPr>
      <w:r w:rsidRPr="0014600A">
        <w:t>Distinction, directe ou indirecte, en raison des opinions politiques, syndicales, philosophiques ou religieuses, de l’origine, de l’orientation sexuelle ou d’identité de genre, de l’âge, du patronyme de la situation familiale ou de grossesse, de l’état de santé, de l’apparence physique, du handicap, de l’appartenance ou la non appartenance, vraie ou supposée, à une ethnie ou une race (Article L.131-1 du Code Général de la Fonction Publique).</w:t>
      </w:r>
    </w:p>
    <w:p w14:paraId="4CFE39D6" w14:textId="77777777" w:rsidR="00804E1F" w:rsidRPr="0014600A" w:rsidRDefault="00C349DF">
      <w:pPr>
        <w:pStyle w:val="Paragraphedeliste"/>
        <w:numPr>
          <w:ilvl w:val="0"/>
          <w:numId w:val="1"/>
        </w:numPr>
        <w:jc w:val="both"/>
        <w:rPr>
          <w:b/>
          <w:bCs/>
        </w:rPr>
      </w:pPr>
      <w:r w:rsidRPr="0014600A">
        <w:rPr>
          <w:b/>
          <w:bCs/>
        </w:rPr>
        <w:t xml:space="preserve">Actes de harcèlement </w:t>
      </w:r>
    </w:p>
    <w:p w14:paraId="4E235B87" w14:textId="792FE029" w:rsidR="00804E1F" w:rsidRPr="0014600A" w:rsidRDefault="00C349DF">
      <w:pPr>
        <w:jc w:val="both"/>
      </w:pPr>
      <w:r w:rsidRPr="0014600A">
        <w:rPr>
          <w:u w:val="single"/>
        </w:rPr>
        <w:t>Harcèlement moral</w:t>
      </w:r>
      <w:r w:rsidR="00D27179" w:rsidRPr="0014600A">
        <w:t> : a</w:t>
      </w:r>
      <w:r w:rsidRPr="0014600A">
        <w:t xml:space="preserve">gissements qui ont pour objet ou pour effet une dégradation des conditions de travail susceptibles de porter atteinte aux droits et à la dignité, d’altérer la santé physique ou mentale ou de compromettre l’avenir professionnel d’un agent. </w:t>
      </w:r>
    </w:p>
    <w:p w14:paraId="38502472" w14:textId="57CFDE46" w:rsidR="00804E1F" w:rsidRPr="0014600A" w:rsidRDefault="00D27179">
      <w:pPr>
        <w:jc w:val="both"/>
      </w:pPr>
      <w:r w:rsidRPr="0014600A">
        <w:rPr>
          <w:u w:val="single"/>
        </w:rPr>
        <w:t>H</w:t>
      </w:r>
      <w:r w:rsidR="00C349DF" w:rsidRPr="0014600A">
        <w:rPr>
          <w:u w:val="single"/>
        </w:rPr>
        <w:t>arcèlement sexuel</w:t>
      </w:r>
      <w:r w:rsidRPr="0014600A">
        <w:t> : p</w:t>
      </w:r>
      <w:r w:rsidR="00C349DF" w:rsidRPr="0014600A">
        <w:t xml:space="preserve">ropos ou comportements à connotation sexuelle répétés qui portent atteinte à la dignité en raison de leur caractère dégradant ou humiliant, soit créées une situation intimidante, hostile ou offensante. </w:t>
      </w:r>
    </w:p>
    <w:p w14:paraId="75930559" w14:textId="77777777" w:rsidR="00804E1F" w:rsidRPr="0014600A" w:rsidRDefault="00C349DF">
      <w:pPr>
        <w:pStyle w:val="Paragraphedeliste"/>
        <w:numPr>
          <w:ilvl w:val="0"/>
          <w:numId w:val="1"/>
        </w:numPr>
        <w:jc w:val="both"/>
        <w:rPr>
          <w:b/>
          <w:bCs/>
        </w:rPr>
      </w:pPr>
      <w:r w:rsidRPr="0014600A">
        <w:rPr>
          <w:b/>
          <w:bCs/>
        </w:rPr>
        <w:t xml:space="preserve">Agissements sexistes </w:t>
      </w:r>
    </w:p>
    <w:p w14:paraId="244122AB" w14:textId="77777777" w:rsidR="00804E1F" w:rsidRPr="0014600A" w:rsidRDefault="00C349DF">
      <w:pPr>
        <w:jc w:val="both"/>
      </w:pPr>
      <w:r w:rsidRPr="0014600A">
        <w:t xml:space="preserve">Agissements liés au sexe d’une personne, ayant pour objet ou pour effet de porter atteinte à sa dignité ou de créer un environnement intimidant, hostile, dégradant, humiliant ou offensant dans le cadre de ses fonctions. </w:t>
      </w:r>
    </w:p>
    <w:p w14:paraId="71DBACFF" w14:textId="77777777" w:rsidR="00804E1F" w:rsidRPr="0014600A" w:rsidRDefault="00C349DF" w:rsidP="00D27179">
      <w:pPr>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lastRenderedPageBreak/>
        <w:t>ARTICLE 3 </w:t>
      </w:r>
      <w:r w:rsidRPr="0014600A">
        <w:rPr>
          <w:rFonts w:cs="Calibri"/>
          <w:b/>
          <w:bCs/>
          <w:color w:val="29347B"/>
          <w:sz w:val="24"/>
          <w:szCs w:val="24"/>
        </w:rPr>
        <w:t>: LES AGENTS CONCERNES </w:t>
      </w:r>
    </w:p>
    <w:p w14:paraId="1388994B" w14:textId="77777777" w:rsidR="00804E1F" w:rsidRPr="0014600A" w:rsidRDefault="00C349DF">
      <w:pPr>
        <w:pStyle w:val="Corpsdetexte"/>
        <w:jc w:val="both"/>
        <w:rPr>
          <w:rFonts w:eastAsia="Arial" w:cs="Calibri"/>
        </w:rPr>
      </w:pPr>
      <w:r w:rsidRPr="0014600A">
        <w:t xml:space="preserve">Le dispositif </w:t>
      </w:r>
      <w:r w:rsidRPr="0014600A">
        <w:rPr>
          <w:rFonts w:eastAsia="Arial" w:cs="Calibri"/>
        </w:rPr>
        <w:t>est</w:t>
      </w:r>
      <w:r w:rsidRPr="0014600A">
        <w:rPr>
          <w:rFonts w:eastAsia="Arial" w:cs="Calibri"/>
          <w:spacing w:val="22"/>
        </w:rPr>
        <w:t xml:space="preserve"> </w:t>
      </w:r>
      <w:r w:rsidRPr="0014600A">
        <w:rPr>
          <w:rFonts w:eastAsia="Arial" w:cs="Calibri"/>
        </w:rPr>
        <w:t xml:space="preserve">ouvert à l’ensemble des agents placés sous l’autorité de la </w:t>
      </w:r>
      <w:r w:rsidRPr="0014600A">
        <w:rPr>
          <w:rFonts w:eastAsia="Arial" w:cs="Calibri"/>
          <w:shd w:val="clear" w:color="auto" w:fill="FFFF00"/>
        </w:rPr>
        <w:t>collectivité/ de l’établissement</w:t>
      </w:r>
      <w:r w:rsidRPr="0014600A">
        <w:rPr>
          <w:rFonts w:eastAsia="Arial" w:cs="Calibri"/>
        </w:rPr>
        <w:t>.</w:t>
      </w:r>
    </w:p>
    <w:p w14:paraId="7A6D8006" w14:textId="77777777" w:rsidR="00804E1F" w:rsidRPr="0014600A" w:rsidRDefault="00C349DF" w:rsidP="00D27179">
      <w:pPr>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4</w:t>
      </w:r>
      <w:r w:rsidRPr="0014600A">
        <w:rPr>
          <w:rFonts w:cs="Calibri"/>
          <w:b/>
          <w:bCs/>
          <w:color w:val="29347B"/>
          <w:sz w:val="24"/>
          <w:szCs w:val="24"/>
        </w:rPr>
        <w:t xml:space="preserve"> : NATURE DES MISSIONS </w:t>
      </w:r>
    </w:p>
    <w:p w14:paraId="55D565B5" w14:textId="77777777" w:rsidR="00804E1F" w:rsidRPr="0014600A" w:rsidRDefault="00C349DF" w:rsidP="00D27179">
      <w:pPr>
        <w:jc w:val="both"/>
      </w:pPr>
      <w:r w:rsidRPr="0014600A">
        <w:t xml:space="preserve">L’intervention du Centre de Gestion portera exclusivement sur les missions suivantes : </w:t>
      </w:r>
    </w:p>
    <w:p w14:paraId="76ABB096" w14:textId="66C10BD2" w:rsidR="00804E1F" w:rsidRPr="0014600A" w:rsidRDefault="00C349DF" w:rsidP="00C8506A">
      <w:pPr>
        <w:pStyle w:val="Paragraphedeliste"/>
        <w:numPr>
          <w:ilvl w:val="0"/>
          <w:numId w:val="3"/>
        </w:numPr>
        <w:spacing w:after="120"/>
        <w:ind w:left="714" w:hanging="357"/>
        <w:jc w:val="both"/>
      </w:pPr>
      <w:r w:rsidRPr="0014600A">
        <w:t>Recueillir les signalements (étude de la recevabilité de la saisine, identification des parties et caractérisation des signalements…)</w:t>
      </w:r>
    </w:p>
    <w:p w14:paraId="33A2508C" w14:textId="77777777" w:rsidR="00804E1F" w:rsidRPr="0014600A" w:rsidRDefault="00C349DF">
      <w:pPr>
        <w:pStyle w:val="Paragraphedeliste"/>
        <w:numPr>
          <w:ilvl w:val="0"/>
          <w:numId w:val="3"/>
        </w:numPr>
        <w:jc w:val="both"/>
      </w:pPr>
      <w:r w:rsidRPr="0014600A">
        <w:t>Orienter les agents vers l’autorité compétente</w:t>
      </w:r>
    </w:p>
    <w:p w14:paraId="74F8CD9E" w14:textId="77777777" w:rsidR="00804E1F" w:rsidRPr="0014600A" w:rsidRDefault="00C349DF" w:rsidP="00D27179">
      <w:pPr>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5</w:t>
      </w:r>
      <w:r w:rsidRPr="0014600A">
        <w:rPr>
          <w:rFonts w:cs="Calibri"/>
          <w:b/>
          <w:bCs/>
          <w:color w:val="29347B"/>
          <w:sz w:val="24"/>
          <w:szCs w:val="24"/>
        </w:rPr>
        <w:t xml:space="preserve"> : CONDITIONS D’EXERCICE DES MISSIONS </w:t>
      </w:r>
    </w:p>
    <w:p w14:paraId="07F52089" w14:textId="77777777" w:rsidR="00804E1F" w:rsidRPr="0014600A" w:rsidRDefault="00C349DF">
      <w:pPr>
        <w:jc w:val="both"/>
      </w:pPr>
      <w:r w:rsidRPr="0014600A">
        <w:t xml:space="preserve">Le Centre de Gestion, pour exercer cette mission, constituera une cellule composée d’une équipe pluridisciplinaire. </w:t>
      </w:r>
    </w:p>
    <w:p w14:paraId="61EDDE3E" w14:textId="77777777" w:rsidR="00804E1F" w:rsidRPr="0014600A" w:rsidRDefault="00C349DF" w:rsidP="00D27179">
      <w:pPr>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6</w:t>
      </w:r>
      <w:r w:rsidRPr="0014600A">
        <w:rPr>
          <w:rFonts w:cs="Calibri"/>
          <w:b/>
          <w:bCs/>
          <w:color w:val="29347B"/>
          <w:sz w:val="24"/>
          <w:szCs w:val="24"/>
        </w:rPr>
        <w:t xml:space="preserve"> : LA PROCEDURE DE RECUEIL DES SIGNALEMENTS </w:t>
      </w:r>
    </w:p>
    <w:p w14:paraId="7D73CC62" w14:textId="1A85C4AC" w:rsidR="00804E1F" w:rsidRPr="0014600A" w:rsidRDefault="00C349DF">
      <w:pPr>
        <w:jc w:val="both"/>
      </w:pPr>
      <w:r w:rsidRPr="0014600A">
        <w:t xml:space="preserve">Les agents s’estimant victimes ou témoins de tels actes sollicitent le dispositif, en complétant un formulaire de signalement et en l’envoyant par mail à l’adresse suivante : </w:t>
      </w:r>
      <w:hyperlink r:id="rId7" w:history="1">
        <w:r w:rsidRPr="0014600A">
          <w:rPr>
            <w:rStyle w:val="Lienhypertexte"/>
          </w:rPr>
          <w:t>signalement.actes@cdg36.fr</w:t>
        </w:r>
      </w:hyperlink>
      <w:r w:rsidR="00717F0F" w:rsidRPr="0014600A">
        <w:t>, ou par courrier, sous pli confidentiel, adressé au Pôle Santé-Prévention (dispositif de signalement) du Centre de Gestion de l’Indre, 21 rue bourdillon 36000 Châteauroux.</w:t>
      </w:r>
    </w:p>
    <w:p w14:paraId="5E74BFF7" w14:textId="77777777" w:rsidR="00804E1F" w:rsidRPr="0014600A" w:rsidRDefault="00C349DF">
      <w:pPr>
        <w:jc w:val="both"/>
      </w:pPr>
      <w:r w:rsidRPr="0014600A">
        <w:t xml:space="preserve">Toutes informations ou documents utiles à la caractérisation de l’acte sont transmis à la cellule de recueil des signalements, quels qu’en soient leur forme et leur support.  </w:t>
      </w:r>
    </w:p>
    <w:p w14:paraId="3FF54404" w14:textId="77777777" w:rsidR="00804E1F" w:rsidRPr="0014600A" w:rsidRDefault="00C349DF">
      <w:pPr>
        <w:jc w:val="both"/>
      </w:pPr>
      <w:r w:rsidRPr="0014600A">
        <w:t xml:space="preserve">L’auteur du signalement devra fournir son adresse email au moment de son signalement. Il sera informé par mail dans un délai de 48h de la réception de son signalement. </w:t>
      </w:r>
    </w:p>
    <w:p w14:paraId="3F3F2CC3" w14:textId="77777777" w:rsidR="00804E1F" w:rsidRPr="0014600A" w:rsidRDefault="00C349DF">
      <w:pPr>
        <w:jc w:val="both"/>
      </w:pPr>
      <w:r w:rsidRPr="0014600A">
        <w:t xml:space="preserve">Une fois le signalement réceptionné, une phase d’analyse et de qualification de la demande sera effectuée par la cellule de recueil de signalement du Cantre de Gestion en interne afin de valider ou non la recevabilité du signalement. L’auteur du signalement sera informé de la recevabilité ou non de son signalement et le cas échéant, des suites qui seront données. </w:t>
      </w:r>
    </w:p>
    <w:p w14:paraId="75A51079" w14:textId="77777777" w:rsidR="00804E1F" w:rsidRPr="0014600A" w:rsidRDefault="00C349DF">
      <w:pPr>
        <w:jc w:val="both"/>
      </w:pPr>
      <w:r w:rsidRPr="0014600A">
        <w:t xml:space="preserve">Dans le cas d’un signalement d’un acte de violence, de discrimination, de harcèlement ou d’un agissement sexiste caractérisé, le Centre de Gestion transmet le signalement au RELAIS, association spécialisée partenaire accueillant et apportant notamment une aide à toute personne victime d’infraction.  </w:t>
      </w:r>
    </w:p>
    <w:p w14:paraId="5875F7C7" w14:textId="77777777" w:rsidR="00804E1F" w:rsidRPr="0014600A" w:rsidRDefault="00C349DF" w:rsidP="00D27179">
      <w:pPr>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7</w:t>
      </w:r>
      <w:r w:rsidRPr="0014600A">
        <w:rPr>
          <w:rFonts w:cs="Calibri"/>
          <w:b/>
          <w:bCs/>
          <w:color w:val="29347B"/>
          <w:sz w:val="24"/>
          <w:szCs w:val="24"/>
        </w:rPr>
        <w:t> : LA PROCÉDURE D’ORIENTATION VERS LES SERVICES ET PROFESSIONNELS COMPÉTENTS CHARGÉS DE LEUR ACCOMPAGNEMENT ET DE LEUR SOUTIEN</w:t>
      </w:r>
    </w:p>
    <w:p w14:paraId="40AF7704" w14:textId="6C85F7E9" w:rsidR="00804E1F" w:rsidRPr="0014600A" w:rsidRDefault="00C349DF">
      <w:pPr>
        <w:jc w:val="both"/>
      </w:pPr>
      <w:r w:rsidRPr="0014600A">
        <w:t xml:space="preserve">Le Centre de Gestion a confié </w:t>
      </w:r>
      <w:r w:rsidR="00C8506A">
        <w:t>à l’Association LE</w:t>
      </w:r>
      <w:r w:rsidRPr="0014600A">
        <w:t xml:space="preserve"> RELAIS</w:t>
      </w:r>
      <w:r w:rsidR="00C8506A">
        <w:t xml:space="preserve"> 18, gestionnaire de France Victimes 36,</w:t>
      </w:r>
      <w:r w:rsidRPr="0014600A">
        <w:t xml:space="preserve"> la gestion de la procédure d’orientation des victimes ou témoins d’actes de violence, de discrimination, de harcèlement ou d’agissements sexuels, vers les services et professionnels compétents chargés de l’accompagnement et de leur soutien. </w:t>
      </w:r>
    </w:p>
    <w:p w14:paraId="2675B99C" w14:textId="77777777" w:rsidR="00804E1F" w:rsidRPr="0014600A" w:rsidRDefault="00C349DF">
      <w:pPr>
        <w:jc w:val="both"/>
      </w:pPr>
      <w:r w:rsidRPr="0014600A">
        <w:lastRenderedPageBreak/>
        <w:t xml:space="preserve">Ainsi, lorsque le signalement est caractérisé comme relevant du dispositif de signalement des actes de violence, de discrimination, de harcèlement et d’agissements sexistes, le signalant sera orienté vers le RELAIS. </w:t>
      </w:r>
    </w:p>
    <w:p w14:paraId="0D5E5165" w14:textId="5D257E78" w:rsidR="00804E1F" w:rsidRPr="0014600A" w:rsidRDefault="00C349DF">
      <w:pPr>
        <w:jc w:val="both"/>
      </w:pPr>
      <w:r w:rsidRPr="0014600A">
        <w:t xml:space="preserve">A ce titre, </w:t>
      </w:r>
      <w:r w:rsidR="00C8506A">
        <w:t>LE</w:t>
      </w:r>
      <w:r w:rsidRPr="0014600A">
        <w:t xml:space="preserve"> RELAIS est tenu de : </w:t>
      </w:r>
    </w:p>
    <w:p w14:paraId="76653A3F" w14:textId="77777777" w:rsidR="00804E1F" w:rsidRPr="0014600A" w:rsidRDefault="00C349DF" w:rsidP="00C8506A">
      <w:pPr>
        <w:numPr>
          <w:ilvl w:val="0"/>
          <w:numId w:val="4"/>
        </w:numPr>
        <w:spacing w:after="0"/>
        <w:ind w:left="714" w:hanging="357"/>
        <w:jc w:val="both"/>
      </w:pPr>
      <w:r w:rsidRPr="0014600A">
        <w:t xml:space="preserve">Contacter la </w:t>
      </w:r>
      <w:proofErr w:type="spellStart"/>
      <w:r w:rsidRPr="0014600A">
        <w:rPr>
          <w:bCs/>
          <w:lang w:val="en-US"/>
        </w:rPr>
        <w:t>personne</w:t>
      </w:r>
      <w:proofErr w:type="spellEnd"/>
      <w:r w:rsidRPr="0014600A">
        <w:rPr>
          <w:bCs/>
          <w:lang w:val="en-US"/>
        </w:rPr>
        <w:t xml:space="preserve"> </w:t>
      </w:r>
      <w:proofErr w:type="spellStart"/>
      <w:r w:rsidRPr="0014600A">
        <w:rPr>
          <w:bCs/>
          <w:lang w:val="en-US"/>
        </w:rPr>
        <w:t>concernée</w:t>
      </w:r>
      <w:proofErr w:type="spellEnd"/>
      <w:r w:rsidRPr="0014600A">
        <w:rPr>
          <w:bCs/>
          <w:lang w:val="en-US"/>
        </w:rPr>
        <w:t xml:space="preserve"> par le </w:t>
      </w:r>
      <w:proofErr w:type="spellStart"/>
      <w:r w:rsidRPr="0014600A">
        <w:rPr>
          <w:bCs/>
          <w:lang w:val="en-US"/>
        </w:rPr>
        <w:t>signalement</w:t>
      </w:r>
      <w:proofErr w:type="spellEnd"/>
      <w:r w:rsidRPr="0014600A">
        <w:rPr>
          <w:bCs/>
          <w:lang w:val="en-US"/>
        </w:rPr>
        <w:t xml:space="preserve"> dans un </w:t>
      </w:r>
      <w:proofErr w:type="spellStart"/>
      <w:r w:rsidRPr="0014600A">
        <w:rPr>
          <w:bCs/>
          <w:lang w:val="en-US"/>
        </w:rPr>
        <w:t>délai</w:t>
      </w:r>
      <w:proofErr w:type="spellEnd"/>
      <w:r w:rsidRPr="0014600A">
        <w:rPr>
          <w:bCs/>
          <w:lang w:val="en-US"/>
        </w:rPr>
        <w:t xml:space="preserve"> de 72 </w:t>
      </w:r>
      <w:proofErr w:type="spellStart"/>
      <w:r w:rsidRPr="0014600A">
        <w:rPr>
          <w:bCs/>
          <w:lang w:val="en-US"/>
        </w:rPr>
        <w:t>heures</w:t>
      </w:r>
      <w:proofErr w:type="spellEnd"/>
      <w:r w:rsidRPr="0014600A">
        <w:rPr>
          <w:bCs/>
          <w:lang w:val="en-US"/>
        </w:rPr>
        <w:t xml:space="preserve"> (</w:t>
      </w:r>
      <w:proofErr w:type="spellStart"/>
      <w:r w:rsidRPr="0014600A">
        <w:rPr>
          <w:bCs/>
          <w:lang w:val="en-US"/>
        </w:rPr>
        <w:t>jours</w:t>
      </w:r>
      <w:proofErr w:type="spellEnd"/>
      <w:r w:rsidRPr="0014600A">
        <w:rPr>
          <w:bCs/>
          <w:lang w:val="en-US"/>
        </w:rPr>
        <w:t xml:space="preserve"> </w:t>
      </w:r>
      <w:proofErr w:type="spellStart"/>
      <w:r w:rsidRPr="0014600A">
        <w:rPr>
          <w:bCs/>
          <w:lang w:val="en-US"/>
        </w:rPr>
        <w:t>ouvrés</w:t>
      </w:r>
      <w:proofErr w:type="spellEnd"/>
      <w:r w:rsidRPr="0014600A">
        <w:rPr>
          <w:bCs/>
          <w:lang w:val="en-US"/>
        </w:rPr>
        <w:t>)</w:t>
      </w:r>
    </w:p>
    <w:p w14:paraId="247889AF" w14:textId="77777777" w:rsidR="00804E1F" w:rsidRPr="0014600A" w:rsidRDefault="00C349DF" w:rsidP="00C8506A">
      <w:pPr>
        <w:numPr>
          <w:ilvl w:val="0"/>
          <w:numId w:val="4"/>
        </w:numPr>
        <w:spacing w:after="120"/>
        <w:ind w:left="714" w:hanging="357"/>
        <w:jc w:val="both"/>
        <w:rPr>
          <w:bCs/>
          <w:lang w:val="en-US"/>
        </w:rPr>
      </w:pPr>
      <w:r w:rsidRPr="0014600A">
        <w:rPr>
          <w:bCs/>
          <w:lang w:val="en-US"/>
        </w:rPr>
        <w:t xml:space="preserve">Assurer </w:t>
      </w:r>
      <w:proofErr w:type="spellStart"/>
      <w:r w:rsidRPr="0014600A">
        <w:rPr>
          <w:bCs/>
          <w:lang w:val="en-US"/>
        </w:rPr>
        <w:t>une</w:t>
      </w:r>
      <w:proofErr w:type="spellEnd"/>
      <w:r w:rsidRPr="0014600A">
        <w:rPr>
          <w:bCs/>
          <w:lang w:val="en-US"/>
        </w:rPr>
        <w:t xml:space="preserve"> </w:t>
      </w:r>
      <w:proofErr w:type="spellStart"/>
      <w:r w:rsidRPr="0014600A">
        <w:rPr>
          <w:bCs/>
          <w:lang w:val="en-US"/>
        </w:rPr>
        <w:t>écoute</w:t>
      </w:r>
      <w:proofErr w:type="spellEnd"/>
      <w:r w:rsidRPr="0014600A">
        <w:rPr>
          <w:bCs/>
          <w:lang w:val="en-US"/>
        </w:rPr>
        <w:t xml:space="preserve"> de </w:t>
      </w:r>
      <w:proofErr w:type="spellStart"/>
      <w:r w:rsidRPr="0014600A">
        <w:rPr>
          <w:bCs/>
          <w:lang w:val="en-US"/>
        </w:rPr>
        <w:t>chaque</w:t>
      </w:r>
      <w:proofErr w:type="spellEnd"/>
      <w:r w:rsidRPr="0014600A">
        <w:rPr>
          <w:bCs/>
          <w:lang w:val="en-US"/>
        </w:rPr>
        <w:t xml:space="preserve"> </w:t>
      </w:r>
      <w:proofErr w:type="spellStart"/>
      <w:r w:rsidRPr="0014600A">
        <w:rPr>
          <w:bCs/>
          <w:lang w:val="en-US"/>
        </w:rPr>
        <w:t>personne</w:t>
      </w:r>
      <w:proofErr w:type="spellEnd"/>
      <w:r w:rsidRPr="0014600A">
        <w:rPr>
          <w:bCs/>
          <w:lang w:val="en-US"/>
        </w:rPr>
        <w:t xml:space="preserve"> quelle que </w:t>
      </w:r>
      <w:proofErr w:type="spellStart"/>
      <w:r w:rsidRPr="0014600A">
        <w:rPr>
          <w:bCs/>
          <w:lang w:val="en-US"/>
        </w:rPr>
        <w:t>soit</w:t>
      </w:r>
      <w:proofErr w:type="spellEnd"/>
      <w:r w:rsidRPr="0014600A">
        <w:rPr>
          <w:bCs/>
          <w:lang w:val="en-US"/>
        </w:rPr>
        <w:t xml:space="preserve"> la situation </w:t>
      </w:r>
      <w:proofErr w:type="spellStart"/>
      <w:r w:rsidRPr="0014600A">
        <w:rPr>
          <w:bCs/>
          <w:lang w:val="en-US"/>
        </w:rPr>
        <w:t>en</w:t>
      </w:r>
      <w:proofErr w:type="spellEnd"/>
      <w:r w:rsidRPr="0014600A">
        <w:rPr>
          <w:bCs/>
          <w:lang w:val="en-US"/>
        </w:rPr>
        <w:t xml:space="preserve"> dehors </w:t>
      </w:r>
      <w:proofErr w:type="spellStart"/>
      <w:r w:rsidRPr="0014600A">
        <w:rPr>
          <w:bCs/>
          <w:lang w:val="en-US"/>
        </w:rPr>
        <w:t>ou</w:t>
      </w:r>
      <w:proofErr w:type="spellEnd"/>
      <w:r w:rsidRPr="0014600A">
        <w:rPr>
          <w:bCs/>
          <w:lang w:val="en-US"/>
        </w:rPr>
        <w:t xml:space="preserve"> </w:t>
      </w:r>
      <w:proofErr w:type="spellStart"/>
      <w:r w:rsidRPr="0014600A">
        <w:rPr>
          <w:bCs/>
          <w:lang w:val="en-US"/>
        </w:rPr>
        <w:t>en</w:t>
      </w:r>
      <w:proofErr w:type="spellEnd"/>
      <w:r w:rsidRPr="0014600A">
        <w:rPr>
          <w:bCs/>
          <w:lang w:val="en-US"/>
        </w:rPr>
        <w:t xml:space="preserve"> </w:t>
      </w:r>
      <w:proofErr w:type="spellStart"/>
      <w:r w:rsidRPr="0014600A">
        <w:rPr>
          <w:bCs/>
          <w:lang w:val="en-US"/>
        </w:rPr>
        <w:t>cours</w:t>
      </w:r>
      <w:proofErr w:type="spellEnd"/>
      <w:r w:rsidRPr="0014600A">
        <w:rPr>
          <w:bCs/>
          <w:lang w:val="en-US"/>
        </w:rPr>
        <w:t xml:space="preserve"> de </w:t>
      </w:r>
      <w:proofErr w:type="spellStart"/>
      <w:r w:rsidRPr="0014600A">
        <w:rPr>
          <w:bCs/>
          <w:lang w:val="en-US"/>
        </w:rPr>
        <w:t>toute</w:t>
      </w:r>
      <w:proofErr w:type="spellEnd"/>
      <w:r w:rsidRPr="0014600A">
        <w:rPr>
          <w:bCs/>
          <w:lang w:val="en-US"/>
        </w:rPr>
        <w:t xml:space="preserve"> </w:t>
      </w:r>
      <w:proofErr w:type="spellStart"/>
      <w:r w:rsidRPr="0014600A">
        <w:rPr>
          <w:bCs/>
          <w:lang w:val="en-US"/>
        </w:rPr>
        <w:t>procédure</w:t>
      </w:r>
      <w:proofErr w:type="spellEnd"/>
      <w:r w:rsidRPr="0014600A">
        <w:rPr>
          <w:bCs/>
          <w:lang w:val="en-US"/>
        </w:rPr>
        <w:t xml:space="preserve"> </w:t>
      </w:r>
      <w:proofErr w:type="spellStart"/>
      <w:r w:rsidRPr="0014600A">
        <w:rPr>
          <w:bCs/>
          <w:lang w:val="en-US"/>
        </w:rPr>
        <w:t>pénale</w:t>
      </w:r>
      <w:proofErr w:type="spellEnd"/>
      <w:r w:rsidRPr="0014600A">
        <w:rPr>
          <w:bCs/>
          <w:lang w:val="en-US"/>
        </w:rPr>
        <w:t xml:space="preserve">, et </w:t>
      </w:r>
      <w:proofErr w:type="spellStart"/>
      <w:r w:rsidRPr="0014600A">
        <w:rPr>
          <w:bCs/>
          <w:lang w:val="en-US"/>
        </w:rPr>
        <w:t>ce</w:t>
      </w:r>
      <w:proofErr w:type="spellEnd"/>
      <w:r w:rsidRPr="0014600A">
        <w:rPr>
          <w:bCs/>
          <w:lang w:val="en-US"/>
        </w:rPr>
        <w:t xml:space="preserve"> tout au long de </w:t>
      </w:r>
      <w:proofErr w:type="spellStart"/>
      <w:r w:rsidRPr="0014600A">
        <w:rPr>
          <w:bCs/>
          <w:lang w:val="en-US"/>
        </w:rPr>
        <w:t>celle</w:t>
      </w:r>
      <w:proofErr w:type="spellEnd"/>
      <w:r w:rsidRPr="0014600A">
        <w:rPr>
          <w:bCs/>
          <w:lang w:val="en-US"/>
        </w:rPr>
        <w:t xml:space="preserve">-ci. Le service </w:t>
      </w:r>
      <w:proofErr w:type="spellStart"/>
      <w:r w:rsidRPr="0014600A">
        <w:rPr>
          <w:bCs/>
          <w:lang w:val="en-US"/>
        </w:rPr>
        <w:t>permet</w:t>
      </w:r>
      <w:proofErr w:type="spellEnd"/>
      <w:r w:rsidRPr="0014600A">
        <w:rPr>
          <w:bCs/>
          <w:lang w:val="en-US"/>
        </w:rPr>
        <w:t xml:space="preserve"> aux </w:t>
      </w:r>
      <w:proofErr w:type="spellStart"/>
      <w:r w:rsidRPr="0014600A">
        <w:rPr>
          <w:bCs/>
          <w:lang w:val="en-US"/>
        </w:rPr>
        <w:t>personnes</w:t>
      </w:r>
      <w:proofErr w:type="spellEnd"/>
      <w:r w:rsidRPr="0014600A">
        <w:rPr>
          <w:bCs/>
          <w:lang w:val="en-US"/>
        </w:rPr>
        <w:t xml:space="preserve"> reçues </w:t>
      </w:r>
      <w:proofErr w:type="spellStart"/>
      <w:r w:rsidRPr="0014600A">
        <w:rPr>
          <w:bCs/>
          <w:lang w:val="en-US"/>
        </w:rPr>
        <w:t>d’avoir</w:t>
      </w:r>
      <w:proofErr w:type="spellEnd"/>
      <w:r w:rsidRPr="0014600A">
        <w:rPr>
          <w:bCs/>
          <w:lang w:val="en-US"/>
        </w:rPr>
        <w:t xml:space="preserve"> un </w:t>
      </w:r>
      <w:proofErr w:type="spellStart"/>
      <w:r w:rsidRPr="0014600A">
        <w:rPr>
          <w:bCs/>
          <w:lang w:val="en-US"/>
        </w:rPr>
        <w:t>espace</w:t>
      </w:r>
      <w:proofErr w:type="spellEnd"/>
      <w:r w:rsidRPr="0014600A">
        <w:rPr>
          <w:bCs/>
          <w:lang w:val="en-US"/>
        </w:rPr>
        <w:t xml:space="preserve"> de parole libre</w:t>
      </w:r>
    </w:p>
    <w:p w14:paraId="3F46CFB9" w14:textId="77777777" w:rsidR="00804E1F" w:rsidRPr="0014600A" w:rsidRDefault="00C349DF" w:rsidP="00C8506A">
      <w:pPr>
        <w:numPr>
          <w:ilvl w:val="0"/>
          <w:numId w:val="4"/>
        </w:numPr>
        <w:spacing w:after="120"/>
        <w:ind w:left="714" w:hanging="357"/>
        <w:jc w:val="both"/>
        <w:rPr>
          <w:bCs/>
          <w:lang w:val="en-US"/>
        </w:rPr>
      </w:pPr>
      <w:r w:rsidRPr="0014600A">
        <w:rPr>
          <w:bCs/>
          <w:lang w:val="en-US"/>
        </w:rPr>
        <w:t xml:space="preserve">Informer et </w:t>
      </w:r>
      <w:proofErr w:type="spellStart"/>
      <w:r w:rsidRPr="0014600A">
        <w:rPr>
          <w:bCs/>
          <w:lang w:val="en-US"/>
        </w:rPr>
        <w:t>accompagner</w:t>
      </w:r>
      <w:proofErr w:type="spellEnd"/>
      <w:r w:rsidRPr="0014600A">
        <w:rPr>
          <w:bCs/>
          <w:lang w:val="en-US"/>
        </w:rPr>
        <w:t xml:space="preserve"> </w:t>
      </w:r>
      <w:proofErr w:type="spellStart"/>
      <w:r w:rsidRPr="0014600A">
        <w:rPr>
          <w:bCs/>
          <w:lang w:val="en-US"/>
        </w:rPr>
        <w:t>toute</w:t>
      </w:r>
      <w:proofErr w:type="spellEnd"/>
      <w:r w:rsidRPr="0014600A">
        <w:rPr>
          <w:bCs/>
          <w:lang w:val="en-US"/>
        </w:rPr>
        <w:t xml:space="preserve"> </w:t>
      </w:r>
      <w:proofErr w:type="spellStart"/>
      <w:r w:rsidRPr="0014600A">
        <w:rPr>
          <w:bCs/>
          <w:lang w:val="en-US"/>
        </w:rPr>
        <w:t>personne</w:t>
      </w:r>
      <w:proofErr w:type="spellEnd"/>
      <w:r w:rsidRPr="0014600A">
        <w:rPr>
          <w:bCs/>
          <w:lang w:val="en-US"/>
        </w:rPr>
        <w:t xml:space="preserve"> </w:t>
      </w:r>
      <w:proofErr w:type="spellStart"/>
      <w:r w:rsidRPr="0014600A">
        <w:rPr>
          <w:bCs/>
          <w:lang w:val="en-US"/>
        </w:rPr>
        <w:t>en</w:t>
      </w:r>
      <w:proofErr w:type="spellEnd"/>
      <w:r w:rsidRPr="0014600A">
        <w:rPr>
          <w:bCs/>
          <w:lang w:val="en-US"/>
        </w:rPr>
        <w:t xml:space="preserve"> </w:t>
      </w:r>
      <w:proofErr w:type="spellStart"/>
      <w:r w:rsidRPr="0014600A">
        <w:rPr>
          <w:bCs/>
          <w:lang w:val="en-US"/>
        </w:rPr>
        <w:t>fonction</w:t>
      </w:r>
      <w:proofErr w:type="spellEnd"/>
      <w:r w:rsidRPr="0014600A">
        <w:rPr>
          <w:bCs/>
          <w:lang w:val="en-US"/>
        </w:rPr>
        <w:t xml:space="preserve"> des </w:t>
      </w:r>
      <w:proofErr w:type="spellStart"/>
      <w:r w:rsidRPr="0014600A">
        <w:rPr>
          <w:bCs/>
          <w:lang w:val="en-US"/>
        </w:rPr>
        <w:t>besoins</w:t>
      </w:r>
      <w:proofErr w:type="spellEnd"/>
      <w:r w:rsidRPr="0014600A">
        <w:rPr>
          <w:bCs/>
          <w:lang w:val="en-US"/>
        </w:rPr>
        <w:t xml:space="preserve"> </w:t>
      </w:r>
      <w:proofErr w:type="spellStart"/>
      <w:r w:rsidRPr="0014600A">
        <w:rPr>
          <w:bCs/>
          <w:lang w:val="en-US"/>
        </w:rPr>
        <w:t>spécifiques</w:t>
      </w:r>
      <w:proofErr w:type="spellEnd"/>
      <w:r w:rsidRPr="0014600A">
        <w:rPr>
          <w:bCs/>
          <w:lang w:val="en-US"/>
        </w:rPr>
        <w:t xml:space="preserve"> </w:t>
      </w:r>
      <w:proofErr w:type="spellStart"/>
      <w:r w:rsidRPr="0014600A">
        <w:rPr>
          <w:bCs/>
          <w:lang w:val="en-US"/>
        </w:rPr>
        <w:t>évalués</w:t>
      </w:r>
      <w:proofErr w:type="spellEnd"/>
      <w:r w:rsidRPr="0014600A">
        <w:rPr>
          <w:bCs/>
          <w:lang w:val="en-US"/>
        </w:rPr>
        <w:t xml:space="preserve"> que </w:t>
      </w:r>
      <w:proofErr w:type="spellStart"/>
      <w:r w:rsidRPr="0014600A">
        <w:rPr>
          <w:bCs/>
          <w:lang w:val="en-US"/>
        </w:rPr>
        <w:t>ce</w:t>
      </w:r>
      <w:proofErr w:type="spellEnd"/>
      <w:r w:rsidRPr="0014600A">
        <w:rPr>
          <w:bCs/>
          <w:lang w:val="en-US"/>
        </w:rPr>
        <w:t xml:space="preserve"> </w:t>
      </w:r>
      <w:proofErr w:type="spellStart"/>
      <w:r w:rsidRPr="0014600A">
        <w:rPr>
          <w:bCs/>
          <w:lang w:val="en-US"/>
        </w:rPr>
        <w:t>soit</w:t>
      </w:r>
      <w:proofErr w:type="spellEnd"/>
      <w:r w:rsidRPr="0014600A">
        <w:rPr>
          <w:bCs/>
          <w:lang w:val="en-US"/>
        </w:rPr>
        <w:t xml:space="preserve"> </w:t>
      </w:r>
      <w:proofErr w:type="spellStart"/>
      <w:r w:rsidRPr="0014600A">
        <w:rPr>
          <w:bCs/>
          <w:lang w:val="en-US"/>
        </w:rPr>
        <w:t>d’ordre</w:t>
      </w:r>
      <w:proofErr w:type="spellEnd"/>
      <w:r w:rsidRPr="0014600A">
        <w:rPr>
          <w:bCs/>
          <w:lang w:val="en-US"/>
        </w:rPr>
        <w:t xml:space="preserve"> </w:t>
      </w:r>
      <w:proofErr w:type="spellStart"/>
      <w:r w:rsidRPr="0014600A">
        <w:rPr>
          <w:bCs/>
          <w:lang w:val="en-US"/>
        </w:rPr>
        <w:t>juridique</w:t>
      </w:r>
      <w:proofErr w:type="spellEnd"/>
      <w:r w:rsidRPr="0014600A">
        <w:rPr>
          <w:bCs/>
          <w:lang w:val="en-US"/>
        </w:rPr>
        <w:t>, social et/</w:t>
      </w:r>
      <w:proofErr w:type="spellStart"/>
      <w:r w:rsidRPr="0014600A">
        <w:rPr>
          <w:bCs/>
          <w:lang w:val="en-US"/>
        </w:rPr>
        <w:t>ou</w:t>
      </w:r>
      <w:proofErr w:type="spellEnd"/>
      <w:r w:rsidRPr="0014600A">
        <w:rPr>
          <w:bCs/>
          <w:lang w:val="en-US"/>
        </w:rPr>
        <w:t xml:space="preserve"> </w:t>
      </w:r>
      <w:proofErr w:type="spellStart"/>
      <w:r w:rsidRPr="0014600A">
        <w:rPr>
          <w:bCs/>
          <w:lang w:val="en-US"/>
        </w:rPr>
        <w:t>psychologique</w:t>
      </w:r>
      <w:proofErr w:type="spellEnd"/>
      <w:r w:rsidRPr="0014600A">
        <w:rPr>
          <w:bCs/>
          <w:lang w:val="en-US"/>
        </w:rPr>
        <w:t xml:space="preserve"> </w:t>
      </w:r>
    </w:p>
    <w:p w14:paraId="1A9BBB2F" w14:textId="77777777" w:rsidR="00804E1F" w:rsidRPr="0014600A" w:rsidRDefault="00C349DF" w:rsidP="00C8506A">
      <w:pPr>
        <w:numPr>
          <w:ilvl w:val="0"/>
          <w:numId w:val="4"/>
        </w:numPr>
        <w:spacing w:after="120"/>
        <w:ind w:left="714" w:hanging="357"/>
        <w:jc w:val="both"/>
        <w:rPr>
          <w:bCs/>
          <w:lang w:val="en-US"/>
        </w:rPr>
      </w:pPr>
      <w:r w:rsidRPr="0014600A">
        <w:rPr>
          <w:bCs/>
          <w:lang w:val="en-US"/>
        </w:rPr>
        <w:t xml:space="preserve">Proposer un </w:t>
      </w:r>
      <w:proofErr w:type="spellStart"/>
      <w:r w:rsidRPr="0014600A">
        <w:rPr>
          <w:bCs/>
          <w:lang w:val="en-US"/>
        </w:rPr>
        <w:t>ou</w:t>
      </w:r>
      <w:proofErr w:type="spellEnd"/>
      <w:r w:rsidRPr="0014600A">
        <w:rPr>
          <w:bCs/>
          <w:lang w:val="en-US"/>
        </w:rPr>
        <w:t xml:space="preserve"> </w:t>
      </w:r>
      <w:proofErr w:type="spellStart"/>
      <w:r w:rsidRPr="0014600A">
        <w:rPr>
          <w:bCs/>
          <w:lang w:val="en-US"/>
        </w:rPr>
        <w:t>plusieurs</w:t>
      </w:r>
      <w:proofErr w:type="spellEnd"/>
      <w:r w:rsidRPr="0014600A">
        <w:rPr>
          <w:bCs/>
          <w:lang w:val="en-US"/>
        </w:rPr>
        <w:t xml:space="preserve"> </w:t>
      </w:r>
      <w:proofErr w:type="spellStart"/>
      <w:r w:rsidRPr="0014600A">
        <w:rPr>
          <w:bCs/>
          <w:lang w:val="en-US"/>
        </w:rPr>
        <w:t>entretiens</w:t>
      </w:r>
      <w:proofErr w:type="spellEnd"/>
      <w:r w:rsidRPr="0014600A">
        <w:rPr>
          <w:bCs/>
          <w:lang w:val="en-US"/>
        </w:rPr>
        <w:t xml:space="preserve"> </w:t>
      </w:r>
      <w:proofErr w:type="spellStart"/>
      <w:r w:rsidRPr="0014600A">
        <w:rPr>
          <w:bCs/>
          <w:lang w:val="en-US"/>
        </w:rPr>
        <w:t>psychologiques</w:t>
      </w:r>
      <w:proofErr w:type="spellEnd"/>
      <w:r w:rsidRPr="0014600A">
        <w:rPr>
          <w:bCs/>
          <w:lang w:val="en-US"/>
        </w:rPr>
        <w:t xml:space="preserve"> à la </w:t>
      </w:r>
      <w:proofErr w:type="spellStart"/>
      <w:r w:rsidRPr="0014600A">
        <w:rPr>
          <w:bCs/>
          <w:lang w:val="en-US"/>
        </w:rPr>
        <w:t>personne</w:t>
      </w:r>
      <w:proofErr w:type="spellEnd"/>
      <w:r w:rsidRPr="0014600A">
        <w:rPr>
          <w:bCs/>
          <w:lang w:val="en-US"/>
        </w:rPr>
        <w:t xml:space="preserve"> </w:t>
      </w:r>
      <w:proofErr w:type="spellStart"/>
      <w:r w:rsidRPr="0014600A">
        <w:rPr>
          <w:bCs/>
          <w:lang w:val="en-US"/>
        </w:rPr>
        <w:t>concernée</w:t>
      </w:r>
      <w:proofErr w:type="spellEnd"/>
      <w:r w:rsidRPr="0014600A">
        <w:rPr>
          <w:bCs/>
          <w:lang w:val="en-US"/>
        </w:rPr>
        <w:t xml:space="preserve">, </w:t>
      </w:r>
      <w:proofErr w:type="spellStart"/>
      <w:r w:rsidRPr="0014600A">
        <w:rPr>
          <w:bCs/>
          <w:lang w:val="en-US"/>
        </w:rPr>
        <w:t>si</w:t>
      </w:r>
      <w:proofErr w:type="spellEnd"/>
      <w:r w:rsidRPr="0014600A">
        <w:rPr>
          <w:bCs/>
          <w:lang w:val="en-US"/>
        </w:rPr>
        <w:t xml:space="preserve"> </w:t>
      </w:r>
      <w:proofErr w:type="spellStart"/>
      <w:r w:rsidRPr="0014600A">
        <w:rPr>
          <w:bCs/>
          <w:lang w:val="en-US"/>
        </w:rPr>
        <w:t>besoin</w:t>
      </w:r>
      <w:proofErr w:type="spellEnd"/>
      <w:r w:rsidRPr="0014600A">
        <w:rPr>
          <w:bCs/>
          <w:lang w:val="en-US"/>
        </w:rPr>
        <w:t xml:space="preserve"> et </w:t>
      </w:r>
      <w:proofErr w:type="spellStart"/>
      <w:r w:rsidRPr="0014600A">
        <w:rPr>
          <w:bCs/>
          <w:lang w:val="en-US"/>
        </w:rPr>
        <w:t>en</w:t>
      </w:r>
      <w:proofErr w:type="spellEnd"/>
      <w:r w:rsidRPr="0014600A">
        <w:rPr>
          <w:bCs/>
          <w:lang w:val="en-US"/>
        </w:rPr>
        <w:t xml:space="preserve"> </w:t>
      </w:r>
      <w:proofErr w:type="spellStart"/>
      <w:r w:rsidRPr="0014600A">
        <w:rPr>
          <w:bCs/>
          <w:lang w:val="en-US"/>
        </w:rPr>
        <w:t>fonction</w:t>
      </w:r>
      <w:proofErr w:type="spellEnd"/>
      <w:r w:rsidRPr="0014600A">
        <w:rPr>
          <w:bCs/>
          <w:lang w:val="en-US"/>
        </w:rPr>
        <w:t xml:space="preserve"> de </w:t>
      </w:r>
      <w:proofErr w:type="spellStart"/>
      <w:r w:rsidRPr="0014600A">
        <w:rPr>
          <w:bCs/>
          <w:lang w:val="en-US"/>
        </w:rPr>
        <w:t>sa</w:t>
      </w:r>
      <w:proofErr w:type="spellEnd"/>
      <w:r w:rsidRPr="0014600A">
        <w:rPr>
          <w:bCs/>
          <w:lang w:val="en-US"/>
        </w:rPr>
        <w:t xml:space="preserve"> </w:t>
      </w:r>
      <w:proofErr w:type="spellStart"/>
      <w:r w:rsidRPr="0014600A">
        <w:rPr>
          <w:bCs/>
          <w:lang w:val="en-US"/>
        </w:rPr>
        <w:t>problématique</w:t>
      </w:r>
      <w:proofErr w:type="spellEnd"/>
    </w:p>
    <w:p w14:paraId="6368BEC8" w14:textId="77777777" w:rsidR="00804E1F" w:rsidRPr="0014600A" w:rsidRDefault="00C349DF" w:rsidP="00C8506A">
      <w:pPr>
        <w:numPr>
          <w:ilvl w:val="0"/>
          <w:numId w:val="4"/>
        </w:numPr>
        <w:spacing w:after="120"/>
        <w:ind w:left="714" w:hanging="357"/>
        <w:jc w:val="both"/>
      </w:pPr>
      <w:proofErr w:type="spellStart"/>
      <w:r w:rsidRPr="0014600A">
        <w:rPr>
          <w:bCs/>
          <w:lang w:val="en-US"/>
        </w:rPr>
        <w:t>Soutenir</w:t>
      </w:r>
      <w:proofErr w:type="spellEnd"/>
      <w:r w:rsidRPr="0014600A">
        <w:rPr>
          <w:bCs/>
          <w:lang w:val="en-US"/>
        </w:rPr>
        <w:t xml:space="preserve"> les pers</w:t>
      </w:r>
      <w:proofErr w:type="spellStart"/>
      <w:r w:rsidRPr="0014600A">
        <w:t>onnes</w:t>
      </w:r>
      <w:proofErr w:type="spellEnd"/>
      <w:r w:rsidRPr="0014600A">
        <w:t xml:space="preserve"> victimes ou témoins tout au long de leur parcours (avant, pendant et après la procédure), afin de faciliter leurs demandes qu’elles soient pénales, « indemnitaires », psychologiques ou sociales</w:t>
      </w:r>
    </w:p>
    <w:p w14:paraId="7B9C0C6E" w14:textId="0EC841AA" w:rsidR="00804E1F" w:rsidRPr="0014600A" w:rsidRDefault="00C349DF" w:rsidP="00C8506A">
      <w:pPr>
        <w:numPr>
          <w:ilvl w:val="0"/>
          <w:numId w:val="5"/>
        </w:numPr>
        <w:jc w:val="both"/>
      </w:pPr>
      <w:r w:rsidRPr="0014600A">
        <w:t>Tenir informer le Centre de Gestion de la finalité de l’accompagnement proposé, à l’aide d’une fiche de suivi (à l’issue du premier et dernier entretien, au minimum)</w:t>
      </w:r>
    </w:p>
    <w:p w14:paraId="2C95D5FE" w14:textId="77777777" w:rsidR="00804E1F" w:rsidRPr="0014600A" w:rsidRDefault="00C349DF">
      <w:pPr>
        <w:jc w:val="both"/>
      </w:pPr>
      <w:r w:rsidRPr="0014600A">
        <w:t xml:space="preserve">En fonction de la situation, le médecin du travail pourra également être informé de l’accompagnement proposé à l’agent. </w:t>
      </w:r>
    </w:p>
    <w:p w14:paraId="0B3F38D5" w14:textId="77777777" w:rsidR="00804E1F" w:rsidRPr="0014600A" w:rsidRDefault="00C349DF" w:rsidP="00D27179">
      <w:pPr>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8</w:t>
      </w:r>
      <w:r w:rsidRPr="0014600A">
        <w:rPr>
          <w:rFonts w:cs="Calibri"/>
          <w:b/>
          <w:bCs/>
          <w:color w:val="29347B"/>
          <w:sz w:val="24"/>
          <w:szCs w:val="24"/>
        </w:rPr>
        <w:t xml:space="preserve"> : LA PROCEDURE D’ORIENTATION VERS LES AUTORITES COMPETENTS POUR PRENDRE TOUTE MESURE DE PROTECTION FONCTIONNELLE APPROPRIEE ET ASSURER LE TRAITEMENT DES FAITS SIGNALES </w:t>
      </w:r>
    </w:p>
    <w:p w14:paraId="137408C4" w14:textId="77777777" w:rsidR="00804E1F" w:rsidRPr="0014600A" w:rsidRDefault="00C349DF">
      <w:pPr>
        <w:jc w:val="both"/>
      </w:pPr>
      <w:r w:rsidRPr="0014600A">
        <w:t xml:space="preserve">Avec l’accord du signalant, le Centre de Gestion informera l’employeur de la problématique en lui transmettant les éléments d’information lui permettant de mener une enquête administrative et de mettre en place des actions de prévention adaptées. L’employeur devra alors se charger de la gestion de la situation. </w:t>
      </w:r>
    </w:p>
    <w:p w14:paraId="65810252" w14:textId="77777777" w:rsidR="00804E1F" w:rsidRPr="0014600A" w:rsidRDefault="00C349DF">
      <w:pPr>
        <w:jc w:val="both"/>
      </w:pPr>
      <w:r w:rsidRPr="0014600A">
        <w:t xml:space="preserve">La collectivité devra : </w:t>
      </w:r>
    </w:p>
    <w:p w14:paraId="2142E9B2" w14:textId="77777777" w:rsidR="00804E1F" w:rsidRPr="0014600A" w:rsidRDefault="00C349DF" w:rsidP="00C8506A">
      <w:pPr>
        <w:pStyle w:val="Paragraphedeliste"/>
        <w:numPr>
          <w:ilvl w:val="0"/>
          <w:numId w:val="6"/>
        </w:numPr>
        <w:spacing w:after="120"/>
        <w:ind w:left="714" w:hanging="357"/>
        <w:jc w:val="both"/>
      </w:pPr>
      <w:r w:rsidRPr="0014600A">
        <w:t xml:space="preserve">Procéder à une enquête interne pour vérifier la véracité des faits, leur ampleur et leur gravité </w:t>
      </w:r>
    </w:p>
    <w:p w14:paraId="1F0C0657" w14:textId="77777777" w:rsidR="00804E1F" w:rsidRPr="0014600A" w:rsidRDefault="00C349DF" w:rsidP="00C8506A">
      <w:pPr>
        <w:pStyle w:val="Paragraphedeliste"/>
        <w:numPr>
          <w:ilvl w:val="0"/>
          <w:numId w:val="6"/>
        </w:numPr>
        <w:spacing w:after="120"/>
        <w:ind w:left="714" w:hanging="357"/>
        <w:jc w:val="both"/>
      </w:pPr>
      <w:r w:rsidRPr="0014600A">
        <w:t>Protéger la victime et/ou le ou les témoins avec la mise en œuvre de la protection fonctionnelle</w:t>
      </w:r>
    </w:p>
    <w:p w14:paraId="2B5C05AF" w14:textId="77777777" w:rsidR="00804E1F" w:rsidRPr="0014600A" w:rsidRDefault="00C349DF">
      <w:pPr>
        <w:pStyle w:val="Paragraphedeliste"/>
        <w:numPr>
          <w:ilvl w:val="0"/>
          <w:numId w:val="6"/>
        </w:numPr>
        <w:jc w:val="both"/>
      </w:pPr>
      <w:r w:rsidRPr="0014600A">
        <w:t>Sanctionner l’auteur présumé des faits par l’engagement d’une procédure disciplinaire et/ou pénale</w:t>
      </w:r>
    </w:p>
    <w:p w14:paraId="0452C865" w14:textId="77777777" w:rsidR="00804E1F" w:rsidRPr="0014600A" w:rsidRDefault="00C349DF" w:rsidP="00D27179">
      <w:pPr>
        <w:tabs>
          <w:tab w:val="left" w:pos="1560"/>
        </w:tabs>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9</w:t>
      </w:r>
      <w:r w:rsidRPr="0014600A">
        <w:rPr>
          <w:rFonts w:cs="Calibri"/>
          <w:b/>
          <w:bCs/>
          <w:color w:val="29347B"/>
          <w:sz w:val="24"/>
          <w:szCs w:val="24"/>
        </w:rPr>
        <w:t xml:space="preserve"> : GARANTIES </w:t>
      </w:r>
    </w:p>
    <w:p w14:paraId="76DE788B" w14:textId="77777777" w:rsidR="00804E1F" w:rsidRPr="0014600A" w:rsidRDefault="00C349DF">
      <w:pPr>
        <w:jc w:val="both"/>
      </w:pPr>
      <w:r w:rsidRPr="0014600A">
        <w:t xml:space="preserve">Le dispositif de signalement permet de garantir la stricte confidentialité des informations communiquées aux agents, victimes, témoins ou auteurs des actes ou agissements entrant dans le champ du dispositif, y compris en cas de communication aux personnes ayant besoin d’en connaître pour le traitement de la situation. </w:t>
      </w:r>
    </w:p>
    <w:p w14:paraId="4FC372FE" w14:textId="77777777" w:rsidR="00804E1F" w:rsidRPr="0014600A" w:rsidRDefault="00C349DF">
      <w:pPr>
        <w:jc w:val="both"/>
      </w:pPr>
      <w:r w:rsidRPr="0014600A">
        <w:lastRenderedPageBreak/>
        <w:t xml:space="preserve">Les agents du Centre de Gestion en charge de la caractérisation des signalements et le RELAIS sont soumis aux obligations de confidentialité. </w:t>
      </w:r>
    </w:p>
    <w:p w14:paraId="181F55EA" w14:textId="77777777" w:rsidR="00804E1F" w:rsidRPr="0014600A" w:rsidRDefault="00C349DF">
      <w:pPr>
        <w:jc w:val="both"/>
      </w:pPr>
      <w:r w:rsidRPr="0014600A">
        <w:t xml:space="preserve">Le signalant devra donner son accord pour que les faits soient révélés à son employeur afin que celui-ci puisse prendre, le cas échéant, les mesures de protection fonctionnelle et assurer le traitement des faits signalés. </w:t>
      </w:r>
    </w:p>
    <w:p w14:paraId="052FAB1B" w14:textId="77777777" w:rsidR="00804E1F" w:rsidRPr="0014600A" w:rsidRDefault="00C349DF" w:rsidP="00D27179">
      <w:pPr>
        <w:tabs>
          <w:tab w:val="left" w:pos="1560"/>
        </w:tabs>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10</w:t>
      </w:r>
      <w:r w:rsidRPr="0014600A">
        <w:rPr>
          <w:rFonts w:cs="Calibri"/>
          <w:b/>
          <w:bCs/>
          <w:color w:val="29347B"/>
          <w:sz w:val="24"/>
          <w:szCs w:val="24"/>
        </w:rPr>
        <w:t xml:space="preserve"> : OBLIGATION DE LA COLLECTIVITE/ DE L’ETABLISSEMENT PUBLIC </w:t>
      </w:r>
    </w:p>
    <w:p w14:paraId="10C3EE06" w14:textId="77777777" w:rsidR="00804E1F" w:rsidRPr="0014600A" w:rsidRDefault="00C349DF">
      <w:pPr>
        <w:jc w:val="both"/>
      </w:pPr>
      <w:r w:rsidRPr="0014600A">
        <w:t xml:space="preserve">Dans le cadre du dispositif de signalement mutualisé, chaque autorité territoriale demeure chargée de procéder à une information des agents placés sous son autorité quant à l’existence du dispositif. </w:t>
      </w:r>
    </w:p>
    <w:p w14:paraId="478F0D08" w14:textId="77777777" w:rsidR="00804E1F" w:rsidRPr="0014600A" w:rsidRDefault="00C349DF">
      <w:pPr>
        <w:jc w:val="both"/>
      </w:pPr>
      <w:r w:rsidRPr="0014600A">
        <w:t xml:space="preserve">Les agents doivent être informés de l’existence du dispositif de signalement, ainsi que des procédures mises en place et leurs modalités d’accès. </w:t>
      </w:r>
    </w:p>
    <w:p w14:paraId="55F3D63A" w14:textId="77777777" w:rsidR="00804E1F" w:rsidRPr="0014600A" w:rsidRDefault="00C349DF">
      <w:pPr>
        <w:jc w:val="both"/>
      </w:pPr>
      <w:r w:rsidRPr="0014600A">
        <w:t xml:space="preserve">Le Centre de Gestion met à disposition des collectivités et établissements publics, différents supports de communication en partenariat avec le RELAIS : notes d’information qui peuvent être envoyées aux agents directement (par mail, courrier ou avec leur bulletin de salaire) et affiches à disposer dans les locaux de la collectivité. </w:t>
      </w:r>
    </w:p>
    <w:p w14:paraId="066E659C" w14:textId="77777777" w:rsidR="00804E1F" w:rsidRPr="0014600A" w:rsidRDefault="00C349DF" w:rsidP="00D27179">
      <w:pPr>
        <w:tabs>
          <w:tab w:val="left" w:pos="1560"/>
        </w:tabs>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11</w:t>
      </w:r>
      <w:r w:rsidRPr="0014600A">
        <w:rPr>
          <w:rFonts w:cs="Calibri"/>
          <w:b/>
          <w:bCs/>
          <w:color w:val="29347B"/>
          <w:sz w:val="24"/>
          <w:szCs w:val="24"/>
        </w:rPr>
        <w:t> : RESPONSABILITES </w:t>
      </w:r>
    </w:p>
    <w:p w14:paraId="543CD2C9" w14:textId="77777777" w:rsidR="00804E1F" w:rsidRPr="0014600A" w:rsidRDefault="00C349DF">
      <w:pPr>
        <w:jc w:val="both"/>
      </w:pPr>
      <w:r w:rsidRPr="0014600A">
        <w:t xml:space="preserve">L’autorité territoriale est responsable : </w:t>
      </w:r>
    </w:p>
    <w:p w14:paraId="3C6F3CF1" w14:textId="77777777" w:rsidR="00804E1F" w:rsidRPr="0014600A" w:rsidRDefault="00C349DF" w:rsidP="00C8506A">
      <w:pPr>
        <w:pStyle w:val="Paragraphedeliste"/>
        <w:numPr>
          <w:ilvl w:val="0"/>
          <w:numId w:val="7"/>
        </w:numPr>
        <w:spacing w:after="120"/>
        <w:ind w:left="714" w:hanging="357"/>
        <w:jc w:val="both"/>
      </w:pPr>
      <w:r w:rsidRPr="0014600A">
        <w:t>De la mise en œuvre des démarches relatives au signalement (enquête administrative, accompagnement psychologique et social…)</w:t>
      </w:r>
    </w:p>
    <w:p w14:paraId="1281ADD0" w14:textId="77777777" w:rsidR="00804E1F" w:rsidRPr="0014600A" w:rsidRDefault="00C349DF" w:rsidP="00C8506A">
      <w:pPr>
        <w:pStyle w:val="Paragraphedeliste"/>
        <w:numPr>
          <w:ilvl w:val="0"/>
          <w:numId w:val="7"/>
        </w:numPr>
        <w:spacing w:after="120"/>
        <w:ind w:left="714" w:hanging="357"/>
        <w:jc w:val="both"/>
      </w:pPr>
      <w:r w:rsidRPr="0014600A">
        <w:t xml:space="preserve">De la mise en œuvre des mesures de protection conservatoire </w:t>
      </w:r>
    </w:p>
    <w:p w14:paraId="13F5CA40" w14:textId="77777777" w:rsidR="00804E1F" w:rsidRPr="0014600A" w:rsidRDefault="00C349DF" w:rsidP="00C8506A">
      <w:pPr>
        <w:pStyle w:val="Paragraphedeliste"/>
        <w:numPr>
          <w:ilvl w:val="0"/>
          <w:numId w:val="7"/>
        </w:numPr>
        <w:spacing w:after="120"/>
        <w:ind w:left="714" w:hanging="357"/>
        <w:jc w:val="both"/>
      </w:pPr>
      <w:r w:rsidRPr="0014600A">
        <w:t xml:space="preserve">De l’assistance juridique et de la réparation des préjudices dans le cadre de la protection fonctionnelle </w:t>
      </w:r>
    </w:p>
    <w:p w14:paraId="575CA9E1" w14:textId="77777777" w:rsidR="00804E1F" w:rsidRPr="0014600A" w:rsidRDefault="00C349DF" w:rsidP="00C8506A">
      <w:pPr>
        <w:pStyle w:val="Paragraphedeliste"/>
        <w:numPr>
          <w:ilvl w:val="0"/>
          <w:numId w:val="7"/>
        </w:numPr>
        <w:spacing w:after="120"/>
        <w:jc w:val="both"/>
      </w:pPr>
      <w:r w:rsidRPr="0014600A">
        <w:t xml:space="preserve">Des suites à donner le cas échéant disciplinaires à l’égard des agents impliqués dans la procédure </w:t>
      </w:r>
    </w:p>
    <w:p w14:paraId="18EDF229" w14:textId="77777777" w:rsidR="00804E1F" w:rsidRPr="0014600A" w:rsidRDefault="00C349DF">
      <w:pPr>
        <w:jc w:val="both"/>
      </w:pPr>
      <w:r w:rsidRPr="0014600A">
        <w:t xml:space="preserve">La responsabilité du Centre de Gestion ne saurait être engagée en cas d’informations inexactes, incomplètes ou erronés. </w:t>
      </w:r>
    </w:p>
    <w:p w14:paraId="7B6FC510" w14:textId="77777777" w:rsidR="00804E1F" w:rsidRPr="0014600A" w:rsidRDefault="00C349DF">
      <w:pPr>
        <w:jc w:val="both"/>
      </w:pPr>
      <w:r w:rsidRPr="0014600A">
        <w:t xml:space="preserve">La mise en œuvre des recommandations, avis ou suggestions formulés par le Centre de Gestion relève de la seule responsabilité de la collectivité ou de l’établissement public. </w:t>
      </w:r>
    </w:p>
    <w:p w14:paraId="09E80388" w14:textId="77777777" w:rsidR="00804E1F" w:rsidRPr="0014600A" w:rsidRDefault="00C349DF">
      <w:pPr>
        <w:jc w:val="both"/>
      </w:pPr>
      <w:r w:rsidRPr="0014600A">
        <w:t xml:space="preserve">La présente convention n’a par ailleurs ni pour objet ni pour effet d’exonérer l’autorité territoriale de ses obligations relatives aux dispositions législatives et réglementaires. </w:t>
      </w:r>
    </w:p>
    <w:p w14:paraId="24DC30AE" w14:textId="77777777" w:rsidR="00804E1F" w:rsidRPr="0014600A" w:rsidRDefault="00C349DF" w:rsidP="00D27179">
      <w:pPr>
        <w:tabs>
          <w:tab w:val="left" w:pos="1560"/>
        </w:tabs>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12</w:t>
      </w:r>
      <w:r w:rsidRPr="0014600A">
        <w:rPr>
          <w:rFonts w:cs="Calibri"/>
          <w:b/>
          <w:bCs/>
          <w:color w:val="29347B"/>
          <w:sz w:val="24"/>
          <w:szCs w:val="24"/>
        </w:rPr>
        <w:t xml:space="preserve"> : DISPOSITIONS FINANCIERES </w:t>
      </w:r>
    </w:p>
    <w:p w14:paraId="2E44467F" w14:textId="77777777" w:rsidR="00804E1F" w:rsidRPr="00A038A1" w:rsidRDefault="00C349DF">
      <w:pPr>
        <w:jc w:val="both"/>
      </w:pPr>
      <w:r w:rsidRPr="00A038A1">
        <w:t>Le cocontractant s’engage au versement d’une cotisation annuelle auprès du Centre de Gestion pour le bénéfice de ce service ; son montant est défini par le Conseil d’Administration du Centre de Gestion.</w:t>
      </w:r>
    </w:p>
    <w:p w14:paraId="271CB3FE" w14:textId="563BD909" w:rsidR="00804E1F" w:rsidRPr="00002D14" w:rsidRDefault="00C349DF" w:rsidP="006C0BA1">
      <w:pPr>
        <w:jc w:val="both"/>
      </w:pPr>
      <w:r w:rsidRPr="00002D14">
        <w:t>A titre informatif, la tarification s’établit comme suit au jour de la signature de la convention et évoluera suivant délibération du Conseil d’Administration du Centre de Gestion.</w:t>
      </w:r>
    </w:p>
    <w:tbl>
      <w:tblPr>
        <w:tblW w:w="5387" w:type="dxa"/>
        <w:jc w:val="center"/>
        <w:tblCellMar>
          <w:left w:w="10" w:type="dxa"/>
          <w:right w:w="10" w:type="dxa"/>
        </w:tblCellMar>
        <w:tblLook w:val="04A0" w:firstRow="1" w:lastRow="0" w:firstColumn="1" w:lastColumn="0" w:noHBand="0" w:noVBand="1"/>
      </w:tblPr>
      <w:tblGrid>
        <w:gridCol w:w="3107"/>
        <w:gridCol w:w="2280"/>
      </w:tblGrid>
      <w:tr w:rsidR="006C0BA1" w:rsidRPr="0014600A" w14:paraId="3875C019" w14:textId="77777777" w:rsidTr="006C0BA1">
        <w:trPr>
          <w:trHeight w:val="316"/>
          <w:jc w:val="center"/>
        </w:trPr>
        <w:tc>
          <w:tcPr>
            <w:tcW w:w="3107" w:type="dxa"/>
            <w:tcBorders>
              <w:top w:val="single" w:sz="4" w:space="0" w:color="000000"/>
              <w:left w:val="single" w:sz="4" w:space="0" w:color="000000"/>
              <w:bottom w:val="single" w:sz="4" w:space="0" w:color="000000"/>
              <w:right w:val="single" w:sz="4" w:space="0" w:color="000000"/>
            </w:tcBorders>
            <w:shd w:val="clear" w:color="auto" w:fill="002060"/>
            <w:tcMar>
              <w:top w:w="0" w:type="dxa"/>
              <w:left w:w="70" w:type="dxa"/>
              <w:bottom w:w="0" w:type="dxa"/>
              <w:right w:w="70" w:type="dxa"/>
            </w:tcMar>
            <w:vAlign w:val="center"/>
          </w:tcPr>
          <w:p w14:paraId="1331E7D3" w14:textId="554EFD63" w:rsidR="006C0BA1" w:rsidRPr="00002D14" w:rsidRDefault="006C0BA1" w:rsidP="00D27179">
            <w:pPr>
              <w:spacing w:after="0"/>
              <w:jc w:val="center"/>
            </w:pPr>
            <w:r w:rsidRPr="00002D14">
              <w:lastRenderedPageBreak/>
              <w:t xml:space="preserve">NOMBRE D'AGENTS </w:t>
            </w:r>
            <w:r w:rsidRPr="00002D14">
              <w:br/>
              <w:t>(Titulaires et contractuels</w:t>
            </w:r>
          </w:p>
        </w:tc>
        <w:tc>
          <w:tcPr>
            <w:tcW w:w="2280" w:type="dxa"/>
            <w:tcBorders>
              <w:top w:val="single" w:sz="4" w:space="0" w:color="000000"/>
              <w:bottom w:val="single" w:sz="4" w:space="0" w:color="000000"/>
              <w:right w:val="single" w:sz="4" w:space="0" w:color="000000"/>
            </w:tcBorders>
            <w:shd w:val="clear" w:color="auto" w:fill="002060"/>
            <w:tcMar>
              <w:top w:w="0" w:type="dxa"/>
              <w:left w:w="70" w:type="dxa"/>
              <w:bottom w:w="0" w:type="dxa"/>
              <w:right w:w="70" w:type="dxa"/>
            </w:tcMar>
            <w:vAlign w:val="center"/>
          </w:tcPr>
          <w:p w14:paraId="7C97473D" w14:textId="77777777" w:rsidR="006C0BA1" w:rsidRPr="00002D14" w:rsidRDefault="006C0BA1" w:rsidP="00D27179">
            <w:pPr>
              <w:spacing w:after="0"/>
              <w:jc w:val="center"/>
            </w:pPr>
            <w:r w:rsidRPr="00002D14">
              <w:t>TARIF</w:t>
            </w:r>
          </w:p>
        </w:tc>
      </w:tr>
      <w:tr w:rsidR="006C0BA1" w:rsidRPr="0014600A" w14:paraId="34F9FCD7"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857607E" w14:textId="77777777" w:rsidR="006C0BA1" w:rsidRPr="00002D14" w:rsidRDefault="006C0BA1" w:rsidP="00D27179">
            <w:pPr>
              <w:spacing w:after="0"/>
              <w:jc w:val="center"/>
            </w:pPr>
            <w:r w:rsidRPr="00002D14">
              <w:t>1 à 5</w:t>
            </w:r>
          </w:p>
        </w:tc>
        <w:tc>
          <w:tcPr>
            <w:tcW w:w="22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1D7A58" w14:textId="77777777" w:rsidR="006C0BA1" w:rsidRPr="00002D14" w:rsidRDefault="006C0BA1" w:rsidP="00D27179">
            <w:pPr>
              <w:spacing w:after="0"/>
              <w:jc w:val="center"/>
            </w:pPr>
            <w:r w:rsidRPr="00002D14">
              <w:t>20,00 €</w:t>
            </w:r>
          </w:p>
        </w:tc>
      </w:tr>
      <w:tr w:rsidR="006C0BA1" w:rsidRPr="0014600A" w14:paraId="39FF149C"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75659360" w14:textId="77777777" w:rsidR="006C0BA1" w:rsidRPr="00002D14" w:rsidRDefault="006C0BA1" w:rsidP="00D27179">
            <w:pPr>
              <w:spacing w:after="0"/>
              <w:jc w:val="center"/>
            </w:pPr>
            <w:r w:rsidRPr="00002D14">
              <w:t>6 à 10</w:t>
            </w:r>
          </w:p>
        </w:tc>
        <w:tc>
          <w:tcPr>
            <w:tcW w:w="2280" w:type="dxa"/>
            <w:tcBorders>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54D3D0D2" w14:textId="77777777" w:rsidR="006C0BA1" w:rsidRPr="00002D14" w:rsidRDefault="006C0BA1" w:rsidP="00D27179">
            <w:pPr>
              <w:spacing w:after="0"/>
              <w:jc w:val="center"/>
            </w:pPr>
            <w:r w:rsidRPr="00002D14">
              <w:t>35,00 €</w:t>
            </w:r>
          </w:p>
        </w:tc>
      </w:tr>
      <w:tr w:rsidR="006C0BA1" w:rsidRPr="0014600A" w14:paraId="02C7D503"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C66A22" w14:textId="77777777" w:rsidR="006C0BA1" w:rsidRPr="00002D14" w:rsidRDefault="006C0BA1" w:rsidP="00D27179">
            <w:pPr>
              <w:spacing w:after="0"/>
              <w:jc w:val="center"/>
            </w:pPr>
            <w:r w:rsidRPr="00002D14">
              <w:t>11 à 20</w:t>
            </w:r>
          </w:p>
        </w:tc>
        <w:tc>
          <w:tcPr>
            <w:tcW w:w="22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BE25C71" w14:textId="77777777" w:rsidR="006C0BA1" w:rsidRPr="00002D14" w:rsidRDefault="006C0BA1" w:rsidP="00D27179">
            <w:pPr>
              <w:spacing w:after="0"/>
              <w:jc w:val="center"/>
            </w:pPr>
            <w:r w:rsidRPr="00002D14">
              <w:t>60,00 €</w:t>
            </w:r>
          </w:p>
        </w:tc>
      </w:tr>
      <w:tr w:rsidR="006C0BA1" w:rsidRPr="0014600A" w14:paraId="678DB85D"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47437848" w14:textId="77777777" w:rsidR="006C0BA1" w:rsidRPr="00002D14" w:rsidRDefault="006C0BA1" w:rsidP="00D27179">
            <w:pPr>
              <w:spacing w:after="0"/>
              <w:jc w:val="center"/>
            </w:pPr>
            <w:r w:rsidRPr="00002D14">
              <w:t>21 à 40</w:t>
            </w:r>
          </w:p>
        </w:tc>
        <w:tc>
          <w:tcPr>
            <w:tcW w:w="2280" w:type="dxa"/>
            <w:tcBorders>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026A31BD" w14:textId="77777777" w:rsidR="006C0BA1" w:rsidRPr="00002D14" w:rsidRDefault="006C0BA1" w:rsidP="00D27179">
            <w:pPr>
              <w:spacing w:after="0"/>
              <w:jc w:val="center"/>
            </w:pPr>
            <w:r w:rsidRPr="00002D14">
              <w:t>100,00 €</w:t>
            </w:r>
          </w:p>
        </w:tc>
      </w:tr>
      <w:tr w:rsidR="006C0BA1" w:rsidRPr="0014600A" w14:paraId="0178A985"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E6C73D" w14:textId="77777777" w:rsidR="006C0BA1" w:rsidRPr="00002D14" w:rsidRDefault="006C0BA1" w:rsidP="00D27179">
            <w:pPr>
              <w:spacing w:after="0"/>
              <w:jc w:val="center"/>
            </w:pPr>
            <w:r w:rsidRPr="00002D14">
              <w:t>41 à 60</w:t>
            </w:r>
          </w:p>
        </w:tc>
        <w:tc>
          <w:tcPr>
            <w:tcW w:w="22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A7647E0" w14:textId="77777777" w:rsidR="006C0BA1" w:rsidRPr="00002D14" w:rsidRDefault="006C0BA1" w:rsidP="00D27179">
            <w:pPr>
              <w:spacing w:after="0"/>
              <w:jc w:val="center"/>
            </w:pPr>
            <w:r w:rsidRPr="00002D14">
              <w:t>160,00 €</w:t>
            </w:r>
          </w:p>
        </w:tc>
      </w:tr>
      <w:tr w:rsidR="006C0BA1" w:rsidRPr="0014600A" w14:paraId="25322314"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0D0BF590" w14:textId="77777777" w:rsidR="006C0BA1" w:rsidRPr="00002D14" w:rsidRDefault="006C0BA1" w:rsidP="00D27179">
            <w:pPr>
              <w:spacing w:after="0"/>
              <w:jc w:val="center"/>
            </w:pPr>
            <w:r w:rsidRPr="00002D14">
              <w:t>61 à 80</w:t>
            </w:r>
          </w:p>
        </w:tc>
        <w:tc>
          <w:tcPr>
            <w:tcW w:w="2280" w:type="dxa"/>
            <w:tcBorders>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1ED8492B" w14:textId="77777777" w:rsidR="006C0BA1" w:rsidRPr="00002D14" w:rsidRDefault="006C0BA1" w:rsidP="00D27179">
            <w:pPr>
              <w:spacing w:after="0"/>
              <w:jc w:val="center"/>
            </w:pPr>
            <w:r w:rsidRPr="00002D14">
              <w:t>260,00 €</w:t>
            </w:r>
          </w:p>
        </w:tc>
      </w:tr>
      <w:tr w:rsidR="006C0BA1" w:rsidRPr="0014600A" w14:paraId="421AFAC8"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7886BE" w14:textId="77777777" w:rsidR="006C0BA1" w:rsidRPr="00002D14" w:rsidRDefault="006C0BA1" w:rsidP="00D27179">
            <w:pPr>
              <w:spacing w:after="0"/>
              <w:jc w:val="center"/>
            </w:pPr>
            <w:r w:rsidRPr="00002D14">
              <w:t>81 à 110</w:t>
            </w:r>
          </w:p>
        </w:tc>
        <w:tc>
          <w:tcPr>
            <w:tcW w:w="22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DD5DDA6" w14:textId="77777777" w:rsidR="006C0BA1" w:rsidRPr="00002D14" w:rsidRDefault="006C0BA1" w:rsidP="00D27179">
            <w:pPr>
              <w:spacing w:after="0"/>
              <w:jc w:val="center"/>
            </w:pPr>
            <w:r w:rsidRPr="00002D14">
              <w:t>450,00 €</w:t>
            </w:r>
          </w:p>
        </w:tc>
      </w:tr>
      <w:tr w:rsidR="006C0BA1" w:rsidRPr="0014600A" w14:paraId="0D24E53C" w14:textId="77777777" w:rsidTr="006C0BA1">
        <w:trPr>
          <w:trHeight w:val="290"/>
          <w:jc w:val="center"/>
        </w:trPr>
        <w:tc>
          <w:tcPr>
            <w:tcW w:w="3107" w:type="dxa"/>
            <w:tcBorders>
              <w:left w:val="single" w:sz="4" w:space="0" w:color="000000"/>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2013A89E" w14:textId="77777777" w:rsidR="006C0BA1" w:rsidRPr="00002D14" w:rsidRDefault="006C0BA1" w:rsidP="00D27179">
            <w:pPr>
              <w:spacing w:after="0"/>
              <w:jc w:val="center"/>
            </w:pPr>
            <w:r w:rsidRPr="00002D14">
              <w:t>110 à 350</w:t>
            </w:r>
          </w:p>
        </w:tc>
        <w:tc>
          <w:tcPr>
            <w:tcW w:w="2280" w:type="dxa"/>
            <w:tcBorders>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vAlign w:val="center"/>
          </w:tcPr>
          <w:p w14:paraId="2D3886B2" w14:textId="77777777" w:rsidR="006C0BA1" w:rsidRPr="00002D14" w:rsidRDefault="006C0BA1" w:rsidP="00D27179">
            <w:pPr>
              <w:spacing w:after="0"/>
              <w:jc w:val="center"/>
            </w:pPr>
            <w:r w:rsidRPr="00002D14">
              <w:t>750,00 €</w:t>
            </w:r>
          </w:p>
        </w:tc>
      </w:tr>
      <w:tr w:rsidR="006C0BA1" w:rsidRPr="0014600A" w14:paraId="457A53CC" w14:textId="77777777" w:rsidTr="006C0BA1">
        <w:trPr>
          <w:trHeight w:val="290"/>
          <w:jc w:val="center"/>
        </w:trPr>
        <w:tc>
          <w:tcPr>
            <w:tcW w:w="31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B7AF8C0" w14:textId="77777777" w:rsidR="006C0BA1" w:rsidRPr="00002D14" w:rsidRDefault="006C0BA1" w:rsidP="00D27179">
            <w:pPr>
              <w:spacing w:after="0"/>
              <w:jc w:val="center"/>
            </w:pPr>
            <w:r w:rsidRPr="00002D14">
              <w:t>+ de 350</w:t>
            </w:r>
          </w:p>
        </w:tc>
        <w:tc>
          <w:tcPr>
            <w:tcW w:w="228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7A5C24E" w14:textId="77777777" w:rsidR="006C0BA1" w:rsidRPr="00002D14" w:rsidRDefault="006C0BA1" w:rsidP="00D27179">
            <w:pPr>
              <w:spacing w:after="0"/>
              <w:jc w:val="center"/>
            </w:pPr>
            <w:r w:rsidRPr="00002D14">
              <w:t>2 000,00 €</w:t>
            </w:r>
          </w:p>
        </w:tc>
      </w:tr>
    </w:tbl>
    <w:p w14:paraId="055B2F6C" w14:textId="77777777" w:rsidR="00804E1F" w:rsidRPr="0014600A" w:rsidRDefault="00C349DF" w:rsidP="00D27179">
      <w:pPr>
        <w:tabs>
          <w:tab w:val="left" w:pos="1560"/>
        </w:tabs>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13 :</w:t>
      </w:r>
      <w:r w:rsidRPr="0014600A">
        <w:rPr>
          <w:rFonts w:cs="Calibri"/>
          <w:b/>
          <w:bCs/>
          <w:color w:val="29347B"/>
          <w:sz w:val="24"/>
          <w:szCs w:val="24"/>
        </w:rPr>
        <w:t xml:space="preserve"> BILAN STATISTIQUE </w:t>
      </w:r>
    </w:p>
    <w:p w14:paraId="1637078C" w14:textId="77777777" w:rsidR="00804E1F" w:rsidRPr="0014600A" w:rsidRDefault="00C349DF">
      <w:pPr>
        <w:jc w:val="both"/>
      </w:pPr>
      <w:r w:rsidRPr="0014600A">
        <w:t>Chaque année, un bilan quantitatif et qualitatif des signalements sera effectué par le Centre de Gestion. Les éléments anonymisés seront présentés au CST.</w:t>
      </w:r>
    </w:p>
    <w:p w14:paraId="58293A02" w14:textId="77777777" w:rsidR="00804E1F" w:rsidRPr="0014600A" w:rsidRDefault="00C349DF" w:rsidP="00D27179">
      <w:pPr>
        <w:tabs>
          <w:tab w:val="left" w:pos="1560"/>
        </w:tabs>
        <w:suppressAutoHyphens w:val="0"/>
        <w:autoSpaceDN/>
        <w:spacing w:before="360" w:after="240"/>
        <w:jc w:val="both"/>
        <w:textAlignment w:val="auto"/>
        <w:rPr>
          <w:rFonts w:cs="Calibri"/>
          <w:b/>
          <w:bCs/>
          <w:color w:val="29347B"/>
          <w:sz w:val="24"/>
          <w:szCs w:val="24"/>
        </w:rPr>
      </w:pPr>
      <w:r w:rsidRPr="0014600A">
        <w:rPr>
          <w:rFonts w:cs="Calibri"/>
          <w:b/>
          <w:bCs/>
          <w:color w:val="29347B"/>
          <w:sz w:val="24"/>
          <w:szCs w:val="24"/>
          <w:u w:val="single"/>
        </w:rPr>
        <w:t>ARTICLE 14</w:t>
      </w:r>
      <w:r w:rsidRPr="0014600A">
        <w:rPr>
          <w:rFonts w:cs="Calibri"/>
          <w:b/>
          <w:bCs/>
          <w:color w:val="29347B"/>
          <w:sz w:val="24"/>
          <w:szCs w:val="24"/>
        </w:rPr>
        <w:t xml:space="preserve"> : DUREE DE LA CONVENTION </w:t>
      </w:r>
    </w:p>
    <w:p w14:paraId="64CD9980" w14:textId="77777777" w:rsidR="00D27179" w:rsidRPr="00002D14" w:rsidRDefault="00C349DF">
      <w:pPr>
        <w:jc w:val="both"/>
      </w:pPr>
      <w:r w:rsidRPr="0014600A">
        <w:t xml:space="preserve">La présente convention prend effet à compter </w:t>
      </w:r>
      <w:r w:rsidR="00D27179" w:rsidRPr="00F37D6C">
        <w:rPr>
          <w:highlight w:val="yellow"/>
        </w:rPr>
        <w:t>du ………</w:t>
      </w:r>
      <w:proofErr w:type="gramStart"/>
      <w:r w:rsidR="00D27179" w:rsidRPr="00F37D6C">
        <w:rPr>
          <w:highlight w:val="yellow"/>
        </w:rPr>
        <w:t>…….</w:t>
      </w:r>
      <w:proofErr w:type="gramEnd"/>
      <w:r w:rsidR="00D27179" w:rsidRPr="00F37D6C">
        <w:rPr>
          <w:highlight w:val="yellow"/>
        </w:rPr>
        <w:t xml:space="preserve">. / </w:t>
      </w:r>
      <w:r w:rsidRPr="00F37D6C">
        <w:rPr>
          <w:highlight w:val="yellow"/>
        </w:rPr>
        <w:t>de sa signature</w:t>
      </w:r>
      <w:r w:rsidR="00D27179" w:rsidRPr="0014600A">
        <w:t xml:space="preserve"> et </w:t>
      </w:r>
      <w:r w:rsidRPr="00A038A1">
        <w:t>est</w:t>
      </w:r>
      <w:r w:rsidRPr="00002D14">
        <w:t xml:space="preserve"> </w:t>
      </w:r>
      <w:r w:rsidRPr="00A038A1">
        <w:t>conclue</w:t>
      </w:r>
      <w:r w:rsidRPr="00002D14">
        <w:t xml:space="preserve"> </w:t>
      </w:r>
      <w:r w:rsidRPr="00C349DF">
        <w:t>pour</w:t>
      </w:r>
      <w:r w:rsidRPr="00002D14">
        <w:t xml:space="preserve"> une durée d’un an renouvelable par tacite </w:t>
      </w:r>
      <w:r w:rsidRPr="00A038A1">
        <w:t>reconduction</w:t>
      </w:r>
      <w:r w:rsidRPr="00002D14">
        <w:t xml:space="preserve">. </w:t>
      </w:r>
    </w:p>
    <w:p w14:paraId="532AC86A" w14:textId="7169040F" w:rsidR="00804E1F" w:rsidRPr="0014600A" w:rsidRDefault="00C349DF">
      <w:pPr>
        <w:jc w:val="both"/>
      </w:pPr>
      <w:r w:rsidRPr="00002D14">
        <w:t xml:space="preserve">Avec effet à la date anniversaire de l’adhésion, la convention peut être résiliée </w:t>
      </w:r>
      <w:r w:rsidRPr="00A038A1">
        <w:t>annuellement</w:t>
      </w:r>
      <w:r w:rsidRPr="00002D14">
        <w:t xml:space="preserve"> par chacune des parties, par envoi d’un courrier recommandé avec accusé de réception respectant un préavis de </w:t>
      </w:r>
      <w:proofErr w:type="gramStart"/>
      <w:r w:rsidRPr="00002D14">
        <w:t>deux mois minimum</w:t>
      </w:r>
      <w:proofErr w:type="gramEnd"/>
      <w:r w:rsidRPr="00002D14">
        <w:t>.</w:t>
      </w:r>
    </w:p>
    <w:p w14:paraId="2B575C1B" w14:textId="77777777" w:rsidR="00804E1F" w:rsidRPr="0014600A" w:rsidRDefault="00804E1F">
      <w:pPr>
        <w:jc w:val="both"/>
      </w:pPr>
    </w:p>
    <w:p w14:paraId="51754A3B" w14:textId="77777777" w:rsidR="00804E1F" w:rsidRPr="0014600A" w:rsidRDefault="00C349DF">
      <w:pPr>
        <w:jc w:val="both"/>
      </w:pPr>
      <w:r w:rsidRPr="0014600A">
        <w:t xml:space="preserve">Fait en deux exemplaires </w:t>
      </w:r>
    </w:p>
    <w:tbl>
      <w:tblPr>
        <w:tblW w:w="9210" w:type="dxa"/>
        <w:tblLayout w:type="fixed"/>
        <w:tblCellMar>
          <w:left w:w="10" w:type="dxa"/>
          <w:right w:w="10" w:type="dxa"/>
        </w:tblCellMar>
        <w:tblLook w:val="04A0" w:firstRow="1" w:lastRow="0" w:firstColumn="1" w:lastColumn="0" w:noHBand="0" w:noVBand="1"/>
      </w:tblPr>
      <w:tblGrid>
        <w:gridCol w:w="4605"/>
        <w:gridCol w:w="4605"/>
      </w:tblGrid>
      <w:tr w:rsidR="00717F0F" w:rsidRPr="0014600A" w14:paraId="50B5A8E7" w14:textId="77777777" w:rsidTr="00306F73">
        <w:tc>
          <w:tcPr>
            <w:tcW w:w="4605" w:type="dxa"/>
            <w:shd w:val="clear" w:color="auto" w:fill="auto"/>
            <w:tcMar>
              <w:top w:w="0" w:type="dxa"/>
              <w:left w:w="108" w:type="dxa"/>
              <w:bottom w:w="0" w:type="dxa"/>
              <w:right w:w="108" w:type="dxa"/>
            </w:tcMar>
          </w:tcPr>
          <w:p w14:paraId="42718D0C" w14:textId="77777777" w:rsidR="00717F0F" w:rsidRPr="0014600A" w:rsidRDefault="00717F0F" w:rsidP="00306F73">
            <w:pPr>
              <w:snapToGrid w:val="0"/>
              <w:rPr>
                <w:rFonts w:cs="Calibri"/>
              </w:rPr>
            </w:pPr>
            <w:r w:rsidRPr="0014600A">
              <w:rPr>
                <w:rFonts w:cs="Calibri"/>
              </w:rPr>
              <w:t>A ………………………, le</w:t>
            </w:r>
          </w:p>
        </w:tc>
        <w:tc>
          <w:tcPr>
            <w:tcW w:w="4605" w:type="dxa"/>
            <w:shd w:val="clear" w:color="auto" w:fill="auto"/>
            <w:tcMar>
              <w:top w:w="0" w:type="dxa"/>
              <w:left w:w="108" w:type="dxa"/>
              <w:bottom w:w="0" w:type="dxa"/>
              <w:right w:w="108" w:type="dxa"/>
            </w:tcMar>
          </w:tcPr>
          <w:p w14:paraId="193CE8A4" w14:textId="77777777" w:rsidR="00717F0F" w:rsidRPr="0014600A" w:rsidRDefault="00717F0F" w:rsidP="006C0BA1">
            <w:pPr>
              <w:snapToGrid w:val="0"/>
              <w:ind w:left="535"/>
              <w:rPr>
                <w:rFonts w:cs="Calibri"/>
              </w:rPr>
            </w:pPr>
            <w:r w:rsidRPr="0014600A">
              <w:rPr>
                <w:rFonts w:cs="Calibri"/>
              </w:rPr>
              <w:t>A ………………………, le</w:t>
            </w:r>
          </w:p>
        </w:tc>
      </w:tr>
      <w:tr w:rsidR="00717F0F" w14:paraId="6E4D3AEC" w14:textId="77777777" w:rsidTr="00306F73">
        <w:tc>
          <w:tcPr>
            <w:tcW w:w="4605" w:type="dxa"/>
            <w:shd w:val="clear" w:color="auto" w:fill="auto"/>
            <w:tcMar>
              <w:top w:w="0" w:type="dxa"/>
              <w:left w:w="108" w:type="dxa"/>
              <w:bottom w:w="0" w:type="dxa"/>
              <w:right w:w="108" w:type="dxa"/>
            </w:tcMar>
          </w:tcPr>
          <w:p w14:paraId="641D9123" w14:textId="77777777" w:rsidR="00717F0F" w:rsidRPr="0014600A" w:rsidRDefault="00717F0F" w:rsidP="00306F73">
            <w:pPr>
              <w:snapToGrid w:val="0"/>
              <w:rPr>
                <w:rFonts w:cs="Calibri"/>
              </w:rPr>
            </w:pPr>
            <w:r w:rsidRPr="0014600A">
              <w:rPr>
                <w:rFonts w:cs="Calibri"/>
              </w:rPr>
              <w:t>Pour Le CDG de l’Indre</w:t>
            </w:r>
          </w:p>
          <w:p w14:paraId="5D55E925" w14:textId="77777777" w:rsidR="00717F0F" w:rsidRPr="0014600A" w:rsidRDefault="00717F0F" w:rsidP="00306F73">
            <w:pPr>
              <w:rPr>
                <w:rFonts w:cs="Calibri"/>
              </w:rPr>
            </w:pPr>
          </w:p>
          <w:p w14:paraId="43DE0CD4" w14:textId="77777777" w:rsidR="00717F0F" w:rsidRPr="0014600A" w:rsidRDefault="00717F0F" w:rsidP="00306F73">
            <w:pPr>
              <w:rPr>
                <w:rFonts w:cs="Calibri"/>
              </w:rPr>
            </w:pPr>
          </w:p>
          <w:p w14:paraId="389EF96F" w14:textId="77777777" w:rsidR="00717F0F" w:rsidRPr="0014600A" w:rsidRDefault="00717F0F" w:rsidP="00306F73">
            <w:pPr>
              <w:rPr>
                <w:rFonts w:cs="Calibri"/>
              </w:rPr>
            </w:pPr>
          </w:p>
          <w:p w14:paraId="45D3D7B0" w14:textId="77777777" w:rsidR="00717F0F" w:rsidRPr="0014600A" w:rsidRDefault="00717F0F" w:rsidP="00306F73">
            <w:pPr>
              <w:rPr>
                <w:rFonts w:cs="Calibri"/>
              </w:rPr>
            </w:pPr>
            <w:r w:rsidRPr="0014600A">
              <w:rPr>
                <w:rFonts w:cs="Calibri"/>
              </w:rPr>
              <w:t>Le Président, Xavier ELBAZ</w:t>
            </w:r>
          </w:p>
        </w:tc>
        <w:tc>
          <w:tcPr>
            <w:tcW w:w="4605" w:type="dxa"/>
            <w:shd w:val="clear" w:color="auto" w:fill="auto"/>
            <w:tcMar>
              <w:top w:w="0" w:type="dxa"/>
              <w:left w:w="108" w:type="dxa"/>
              <w:bottom w:w="0" w:type="dxa"/>
              <w:right w:w="108" w:type="dxa"/>
            </w:tcMar>
          </w:tcPr>
          <w:p w14:paraId="6B0655E6" w14:textId="77777777" w:rsidR="00717F0F" w:rsidRPr="0014600A" w:rsidRDefault="00717F0F" w:rsidP="006C0BA1">
            <w:pPr>
              <w:snapToGrid w:val="0"/>
              <w:ind w:left="535"/>
              <w:rPr>
                <w:rFonts w:cs="Calibri"/>
              </w:rPr>
            </w:pPr>
            <w:r w:rsidRPr="0014600A">
              <w:rPr>
                <w:rFonts w:cs="Calibri"/>
              </w:rPr>
              <w:t>Pour la Collectivité adhérente</w:t>
            </w:r>
          </w:p>
          <w:p w14:paraId="6D1A4606" w14:textId="77777777" w:rsidR="00717F0F" w:rsidRPr="0014600A" w:rsidRDefault="00717F0F" w:rsidP="006C0BA1">
            <w:pPr>
              <w:ind w:left="535"/>
              <w:rPr>
                <w:rFonts w:cs="Calibri"/>
              </w:rPr>
            </w:pPr>
          </w:p>
          <w:p w14:paraId="23FD3C8F" w14:textId="77777777" w:rsidR="00717F0F" w:rsidRPr="0014600A" w:rsidRDefault="00717F0F" w:rsidP="006C0BA1">
            <w:pPr>
              <w:ind w:left="535"/>
              <w:rPr>
                <w:rFonts w:cs="Calibri"/>
              </w:rPr>
            </w:pPr>
          </w:p>
          <w:p w14:paraId="4508EE79" w14:textId="77777777" w:rsidR="00717F0F" w:rsidRPr="0014600A" w:rsidRDefault="00717F0F" w:rsidP="006C0BA1">
            <w:pPr>
              <w:ind w:left="535"/>
              <w:rPr>
                <w:rFonts w:cs="Calibri"/>
              </w:rPr>
            </w:pPr>
          </w:p>
          <w:p w14:paraId="02B17E77" w14:textId="77777777" w:rsidR="00717F0F" w:rsidRDefault="00717F0F" w:rsidP="006C0BA1">
            <w:pPr>
              <w:ind w:left="535"/>
              <w:rPr>
                <w:rFonts w:cs="Calibri"/>
              </w:rPr>
            </w:pPr>
            <w:r w:rsidRPr="0014600A">
              <w:rPr>
                <w:rFonts w:cs="Calibri"/>
              </w:rPr>
              <w:t>Nom et qualité du signataire</w:t>
            </w:r>
          </w:p>
        </w:tc>
      </w:tr>
    </w:tbl>
    <w:p w14:paraId="143973D2" w14:textId="1A296E1A" w:rsidR="00804E1F" w:rsidRDefault="00804E1F" w:rsidP="00717F0F">
      <w:pPr>
        <w:jc w:val="both"/>
      </w:pPr>
    </w:p>
    <w:sectPr w:rsidR="00804E1F" w:rsidSect="00717F0F">
      <w:headerReference w:type="default" r:id="rId8"/>
      <w:footerReference w:type="default" r:id="rId9"/>
      <w:headerReference w:type="first" r:id="rId10"/>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BF47" w14:textId="77777777" w:rsidR="00C349DF" w:rsidRDefault="00C349DF">
      <w:pPr>
        <w:spacing w:after="0"/>
      </w:pPr>
      <w:r>
        <w:separator/>
      </w:r>
    </w:p>
  </w:endnote>
  <w:endnote w:type="continuationSeparator" w:id="0">
    <w:p w14:paraId="2D6480CD" w14:textId="77777777" w:rsidR="00C349DF" w:rsidRDefault="00C34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122B" w14:textId="441AEC84" w:rsidR="006C0BA1" w:rsidRDefault="006C0BA1">
    <w:pPr>
      <w:pStyle w:val="Pieddepage"/>
    </w:pPr>
    <w:r>
      <w:rPr>
        <w:noProof/>
      </w:rPr>
      <w:drawing>
        <wp:anchor distT="0" distB="0" distL="114300" distR="114300" simplePos="0" relativeHeight="251661312" behindDoc="0" locked="0" layoutInCell="1" allowOverlap="1" wp14:anchorId="0E50C9F3" wp14:editId="739D8608">
          <wp:simplePos x="0" y="0"/>
          <wp:positionH relativeFrom="margin">
            <wp:posOffset>-909320</wp:posOffset>
          </wp:positionH>
          <wp:positionV relativeFrom="margin">
            <wp:posOffset>8580120</wp:posOffset>
          </wp:positionV>
          <wp:extent cx="7553325" cy="1192530"/>
          <wp:effectExtent l="0" t="0" r="9525" b="7620"/>
          <wp:wrapSquare wrapText="bothSides"/>
          <wp:docPr id="1048063702"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275B" w14:textId="77777777" w:rsidR="00C349DF" w:rsidRDefault="00C349DF">
      <w:pPr>
        <w:spacing w:after="0"/>
      </w:pPr>
      <w:r>
        <w:rPr>
          <w:color w:val="000000"/>
        </w:rPr>
        <w:separator/>
      </w:r>
    </w:p>
  </w:footnote>
  <w:footnote w:type="continuationSeparator" w:id="0">
    <w:p w14:paraId="7598823F" w14:textId="77777777" w:rsidR="00C349DF" w:rsidRDefault="00C349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21C9" w14:textId="5E680DA6" w:rsidR="00C349DF" w:rsidRDefault="00353696">
    <w:pPr>
      <w:pStyle w:val="En-tte"/>
    </w:pPr>
    <w:r>
      <w:pict w14:anchorId="12974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4470" o:spid="_x0000_s1025" type="#_x0000_t136" style="position:absolute;margin-left:0;margin-top:0;width:426.35pt;height:213.15pt;rotation:2949127fd;z-index:251659264;visibility:visible;mso-wrap-style:none;mso-position-horizontal:center;mso-position-horizontal-relative:margin;mso-position-vertical:center;mso-position-vertical-relative:margin;v-text-anchor:top" fillcolor="silver" stroked="f">
          <v:fill opacity="32896f"/>
          <v:textpath style="font-family:&quot;Calibri&quot;;font-size:18pt;v-text-align:left" trim="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5504" w14:textId="58E08B7F" w:rsidR="00717F0F" w:rsidRDefault="00717F0F">
    <w:pPr>
      <w:pStyle w:val="En-tte"/>
    </w:pPr>
    <w:r>
      <w:rPr>
        <w:noProof/>
      </w:rPr>
      <w:drawing>
        <wp:anchor distT="0" distB="0" distL="114300" distR="114300" simplePos="0" relativeHeight="251660288" behindDoc="1" locked="0" layoutInCell="1" allowOverlap="1" wp14:anchorId="46EE3AE5" wp14:editId="63EACEA4">
          <wp:simplePos x="0" y="0"/>
          <wp:positionH relativeFrom="column">
            <wp:posOffset>-414020</wp:posOffset>
          </wp:positionH>
          <wp:positionV relativeFrom="paragraph">
            <wp:posOffset>-200025</wp:posOffset>
          </wp:positionV>
          <wp:extent cx="2414488" cy="990600"/>
          <wp:effectExtent l="0" t="0" r="5080" b="0"/>
          <wp:wrapTight wrapText="bothSides">
            <wp:wrapPolygon edited="0">
              <wp:start x="0" y="0"/>
              <wp:lineTo x="0" y="21185"/>
              <wp:lineTo x="21475" y="21185"/>
              <wp:lineTo x="21475" y="0"/>
              <wp:lineTo x="0" y="0"/>
            </wp:wrapPolygon>
          </wp:wrapTight>
          <wp:docPr id="4985112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11236" name="Image 498511236"/>
                  <pic:cNvPicPr/>
                </pic:nvPicPr>
                <pic:blipFill>
                  <a:blip r:embed="rId1">
                    <a:extLst>
                      <a:ext uri="{28A0092B-C50C-407E-A947-70E740481C1C}">
                        <a14:useLocalDpi xmlns:a14="http://schemas.microsoft.com/office/drawing/2010/main" val="0"/>
                      </a:ext>
                    </a:extLst>
                  </a:blip>
                  <a:stretch>
                    <a:fillRect/>
                  </a:stretch>
                </pic:blipFill>
                <pic:spPr>
                  <a:xfrm>
                    <a:off x="0" y="0"/>
                    <a:ext cx="2414488"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450A"/>
    <w:multiLevelType w:val="multilevel"/>
    <w:tmpl w:val="AB7AF8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A9224A"/>
    <w:multiLevelType w:val="multilevel"/>
    <w:tmpl w:val="39F014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D240F7"/>
    <w:multiLevelType w:val="multilevel"/>
    <w:tmpl w:val="E7E4B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DCB768E"/>
    <w:multiLevelType w:val="multilevel"/>
    <w:tmpl w:val="F3C09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3B01BB9"/>
    <w:multiLevelType w:val="multilevel"/>
    <w:tmpl w:val="812E320E"/>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5BC1896"/>
    <w:multiLevelType w:val="multilevel"/>
    <w:tmpl w:val="AE30F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7E0DD4"/>
    <w:multiLevelType w:val="multilevel"/>
    <w:tmpl w:val="650264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4417850">
    <w:abstractNumId w:val="2"/>
  </w:num>
  <w:num w:numId="2" w16cid:durableId="1292519069">
    <w:abstractNumId w:val="4"/>
  </w:num>
  <w:num w:numId="3" w16cid:durableId="1777360510">
    <w:abstractNumId w:val="6"/>
  </w:num>
  <w:num w:numId="4" w16cid:durableId="501089332">
    <w:abstractNumId w:val="3"/>
  </w:num>
  <w:num w:numId="5" w16cid:durableId="1761829594">
    <w:abstractNumId w:val="5"/>
  </w:num>
  <w:num w:numId="6" w16cid:durableId="963999925">
    <w:abstractNumId w:val="1"/>
  </w:num>
  <w:num w:numId="7" w16cid:durableId="188752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1F"/>
    <w:rsid w:val="00002D14"/>
    <w:rsid w:val="0014600A"/>
    <w:rsid w:val="00353696"/>
    <w:rsid w:val="006C0BA1"/>
    <w:rsid w:val="00717F0F"/>
    <w:rsid w:val="00804E1F"/>
    <w:rsid w:val="00A038A1"/>
    <w:rsid w:val="00C27934"/>
    <w:rsid w:val="00C349DF"/>
    <w:rsid w:val="00C8506A"/>
    <w:rsid w:val="00D27179"/>
    <w:rsid w:val="00F37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F2E5"/>
  <w15:docId w15:val="{5359C5BF-6DC0-450D-9248-6B5CF00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style>
  <w:style w:type="character" w:styleId="Marquedecommentaire">
    <w:name w:val="annotation reference"/>
    <w:basedOn w:val="Policepardfaut"/>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paragraph" w:styleId="Rvision">
    <w:name w:val="Revision"/>
    <w:pPr>
      <w:spacing w:after="0"/>
      <w:textAlignment w:val="auto"/>
    </w:pPr>
  </w:style>
  <w:style w:type="paragraph" w:styleId="Corpsdetexte">
    <w:name w:val="Body Text"/>
    <w:basedOn w:val="Normal"/>
    <w:pPr>
      <w:spacing w:after="120"/>
    </w:pPr>
  </w:style>
  <w:style w:type="character" w:customStyle="1" w:styleId="CorpsdetexteCar">
    <w:name w:val="Corps de texte Car"/>
    <w:basedOn w:val="Policepardfaut"/>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gnalement.actes@cdg36.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2097</Words>
  <Characters>11539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BARRITAUD</dc:creator>
  <dc:description/>
  <cp:lastModifiedBy>Elodie</cp:lastModifiedBy>
  <cp:revision>7</cp:revision>
  <dcterms:created xsi:type="dcterms:W3CDTF">2023-12-15T10:17:00Z</dcterms:created>
  <dcterms:modified xsi:type="dcterms:W3CDTF">2023-12-21T13:29:00Z</dcterms:modified>
</cp:coreProperties>
</file>