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0E4D6AB4" w14:textId="368C3041" w:rsidR="000750E7" w:rsidRDefault="00945352" w:rsidP="00654D9E">
      <w:pPr>
        <w:pStyle w:val="intituldelarrt"/>
        <w:tabs>
          <w:tab w:val="left" w:pos="4395"/>
        </w:tabs>
        <w:rPr>
          <w:rFonts w:asciiTheme="minorHAnsi" w:hAnsiTheme="minorHAnsi" w:cstheme="minorHAns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DE4E97" w:rsidRPr="004115D1">
        <w:rPr>
          <w:rFonts w:asciiTheme="minorHAnsi" w:hAnsiTheme="minorHAnsi" w:cstheme="minorHAnsi"/>
          <w:sz w:val="24"/>
          <w:szCs w:val="24"/>
        </w:rPr>
        <w:t xml:space="preserve">ARRÊTÉ </w:t>
      </w:r>
      <w:r w:rsidR="00DE4E97">
        <w:rPr>
          <w:rFonts w:asciiTheme="minorHAnsi" w:hAnsiTheme="minorHAnsi" w:cstheme="minorHAnsi"/>
          <w:sz w:val="24"/>
          <w:szCs w:val="24"/>
        </w:rPr>
        <w:t>PORTANT ATTRIBUTION DE L’IFSE</w:t>
      </w:r>
    </w:p>
    <w:p w14:paraId="4E382A43" w14:textId="77777777" w:rsidR="00DE4E97" w:rsidRPr="004115D1" w:rsidRDefault="00DE4E97" w:rsidP="00654D9E">
      <w:pPr>
        <w:pStyle w:val="intituldelarrt"/>
        <w:tabs>
          <w:tab w:val="left" w:pos="4395"/>
        </w:tabs>
        <w:rPr>
          <w:rFonts w:cstheme="minorHAnsi"/>
          <w:i/>
          <w:sz w:val="24"/>
          <w:szCs w:val="24"/>
        </w:rPr>
      </w:pPr>
    </w:p>
    <w:p w14:paraId="32EC7172" w14:textId="3FAE5F2B" w:rsidR="00496F9D" w:rsidRDefault="000D75FD" w:rsidP="004D03E1">
      <w:pPr>
        <w:pStyle w:val="Sansinterligne"/>
      </w:pPr>
      <w:r w:rsidRPr="004115D1">
        <w:t xml:space="preserve">Le Maire </w:t>
      </w:r>
      <w:r w:rsidRPr="004115D1">
        <w:rPr>
          <w:i/>
          <w:iCs/>
        </w:rPr>
        <w:t>(ou le Président)</w:t>
      </w:r>
      <w:r w:rsidRPr="004115D1">
        <w:t xml:space="preserve"> de </w:t>
      </w:r>
      <w:r w:rsidRPr="009909A0">
        <w:rPr>
          <w:highlight w:val="yellow"/>
        </w:rPr>
        <w:t>……</w:t>
      </w:r>
      <w:proofErr w:type="gramStart"/>
      <w:r w:rsidRPr="009909A0">
        <w:rPr>
          <w:highlight w:val="yellow"/>
        </w:rPr>
        <w:t>…….</w:t>
      </w:r>
      <w:proofErr w:type="gramEnd"/>
      <w:r w:rsidRPr="009909A0">
        <w:rPr>
          <w:highlight w:val="yellow"/>
        </w:rPr>
        <w:t>.……,</w:t>
      </w:r>
    </w:p>
    <w:p w14:paraId="2E0E8D27" w14:textId="77777777" w:rsidR="001E31C2" w:rsidRPr="004115D1" w:rsidRDefault="001E31C2" w:rsidP="004D03E1">
      <w:pPr>
        <w:pStyle w:val="Sansinterligne"/>
      </w:pPr>
    </w:p>
    <w:p w14:paraId="2BC3F4EF" w14:textId="0CA709C3" w:rsidR="00C16ED7" w:rsidRDefault="000750E7" w:rsidP="00BD57DC">
      <w:pPr>
        <w:pStyle w:val="Sansinterligne"/>
        <w:jc w:val="both"/>
      </w:pPr>
      <w:r w:rsidRPr="004115D1">
        <w:rPr>
          <w:b/>
          <w:bCs/>
        </w:rPr>
        <w:t>VU</w:t>
      </w:r>
      <w:r w:rsidRPr="004115D1">
        <w:t xml:space="preserve"> </w:t>
      </w:r>
      <w:r w:rsidR="009718A4" w:rsidRPr="004115D1">
        <w:t xml:space="preserve">le </w:t>
      </w:r>
      <w:r w:rsidR="000D2F55">
        <w:t>C</w:t>
      </w:r>
      <w:r w:rsidR="009718A4" w:rsidRPr="004115D1">
        <w:t xml:space="preserve">ode </w:t>
      </w:r>
      <w:r w:rsidR="000D2F55">
        <w:t>G</w:t>
      </w:r>
      <w:r w:rsidR="009718A4" w:rsidRPr="004115D1">
        <w:t>énéral de la Fonction Publique</w:t>
      </w:r>
      <w:r w:rsidR="00654D9E">
        <w:t xml:space="preserve"> et notamment</w:t>
      </w:r>
      <w:r w:rsidR="001E31C2">
        <w:t xml:space="preserve"> ses articles L.712-1 et L.714-4 à L.714</w:t>
      </w:r>
      <w:r w:rsidR="009F7931">
        <w:t>-6</w:t>
      </w:r>
      <w:r w:rsidR="009718A4" w:rsidRPr="004115D1">
        <w:t xml:space="preserve">, </w:t>
      </w:r>
    </w:p>
    <w:p w14:paraId="6B782C51" w14:textId="6B684948" w:rsidR="001E31C2" w:rsidRDefault="001E31C2" w:rsidP="00BD57DC">
      <w:pPr>
        <w:pStyle w:val="Sansinterligne"/>
        <w:jc w:val="both"/>
      </w:pPr>
      <w:r w:rsidRPr="001E31C2">
        <w:rPr>
          <w:b/>
          <w:bCs/>
          <w:i/>
          <w:iCs/>
        </w:rPr>
        <w:t>(</w:t>
      </w:r>
      <w:r w:rsidRPr="001E31C2">
        <w:rPr>
          <w:b/>
          <w:bCs/>
          <w:i/>
          <w:iCs/>
          <w:highlight w:val="yellow"/>
        </w:rPr>
        <w:t>Le cas échéant pour les agents contractuels)</w:t>
      </w:r>
      <w:r>
        <w:t xml:space="preserve"> </w:t>
      </w:r>
      <w:r w:rsidRPr="001E31C2">
        <w:rPr>
          <w:b/>
          <w:bCs/>
        </w:rPr>
        <w:t>VU</w:t>
      </w:r>
      <w:r>
        <w:t xml:space="preserve"> le décret n°88-145 du 15 février 1988 relatif aux agents contractuels de la fonction publique territoriale, </w:t>
      </w:r>
    </w:p>
    <w:p w14:paraId="6C944691" w14:textId="1F717CF3" w:rsidR="009E75E0" w:rsidRDefault="00D52960" w:rsidP="00BD57DC">
      <w:pPr>
        <w:pStyle w:val="Sansinterligne"/>
        <w:jc w:val="both"/>
      </w:pPr>
      <w:r w:rsidRPr="00D52960">
        <w:rPr>
          <w:b/>
          <w:bCs/>
          <w:i/>
          <w:iCs/>
          <w:highlight w:val="yellow"/>
        </w:rPr>
        <w:t>(</w:t>
      </w:r>
      <w:r w:rsidR="009E75E0" w:rsidRPr="00D52960">
        <w:rPr>
          <w:b/>
          <w:bCs/>
          <w:i/>
          <w:iCs/>
          <w:highlight w:val="yellow"/>
        </w:rPr>
        <w:t>Le cas échéant pour les agents à temps non complet</w:t>
      </w:r>
      <w:r w:rsidRPr="00D52960">
        <w:rPr>
          <w:b/>
          <w:bCs/>
          <w:i/>
          <w:iCs/>
        </w:rPr>
        <w:t>)</w:t>
      </w:r>
      <w:r w:rsidR="009E75E0" w:rsidRPr="00D52960">
        <w:rPr>
          <w:b/>
          <w:bCs/>
        </w:rPr>
        <w:t xml:space="preserve"> VU</w:t>
      </w:r>
      <w:r w:rsidR="009E75E0">
        <w:t xml:space="preserve"> le </w:t>
      </w:r>
      <w:r w:rsidR="009E75E0" w:rsidRPr="009E75E0">
        <w:t>décret n°91-298 du 20 mars 1991 portant dispositions statutaires applicables aux fonctionnaires territoriaux nommés dans des emplois permanents à temps non complet</w:t>
      </w:r>
      <w:r w:rsidR="009E75E0">
        <w:t>,</w:t>
      </w:r>
    </w:p>
    <w:p w14:paraId="2ACD7A99" w14:textId="49C1ECF5" w:rsidR="009F7931" w:rsidRDefault="009F7931" w:rsidP="00BD57DC">
      <w:pPr>
        <w:pStyle w:val="Sansinterligne"/>
        <w:jc w:val="both"/>
        <w:rPr>
          <w:b/>
          <w:bCs/>
        </w:rPr>
      </w:pPr>
      <w:r w:rsidRPr="009F7931">
        <w:rPr>
          <w:b/>
          <w:bCs/>
        </w:rPr>
        <w:t>VU</w:t>
      </w:r>
      <w:r>
        <w:t xml:space="preserve"> le décret n°91-875 du 6 septembre 1991 pris pour l’application du premier alinéa de l’article 88 de la loi du 26 janvier 1984 portant dispositions statutaires relatives à la fonction publique territoriale, </w:t>
      </w:r>
    </w:p>
    <w:p w14:paraId="55E5841F" w14:textId="3BBE8845" w:rsidR="00905C90" w:rsidRDefault="00D52960" w:rsidP="00BD57DC">
      <w:pPr>
        <w:pStyle w:val="Sansinterligne"/>
        <w:jc w:val="both"/>
      </w:pPr>
      <w:r>
        <w:rPr>
          <w:b/>
          <w:bCs/>
          <w:i/>
          <w:iCs/>
          <w:highlight w:val="yellow"/>
        </w:rPr>
        <w:t>(</w:t>
      </w:r>
      <w:r w:rsidR="00905C90" w:rsidRPr="008B05E5">
        <w:rPr>
          <w:b/>
          <w:bCs/>
          <w:i/>
          <w:iCs/>
          <w:highlight w:val="yellow"/>
        </w:rPr>
        <w:t>Le cas échéant, pour les agents stagiaires</w:t>
      </w:r>
      <w:r>
        <w:rPr>
          <w:b/>
          <w:bCs/>
          <w:i/>
          <w:iCs/>
        </w:rPr>
        <w:t>)</w:t>
      </w:r>
      <w:r w:rsidR="00905C90">
        <w:t xml:space="preserve"> </w:t>
      </w:r>
      <w:r w:rsidR="00905C90" w:rsidRPr="00905C90">
        <w:rPr>
          <w:b/>
          <w:bCs/>
        </w:rPr>
        <w:t>VU</w:t>
      </w:r>
      <w:r w:rsidR="00905C90">
        <w:t xml:space="preserve"> le décret n°92-1194 du 4 novembre 1992 fixant les dispositions communes applicables aux fonctionnaires stagiaires de la fonction publique territoriale,</w:t>
      </w:r>
    </w:p>
    <w:p w14:paraId="4150F2E6" w14:textId="7D7949FF" w:rsidR="001E31C2" w:rsidRDefault="001E31C2" w:rsidP="00BD57DC">
      <w:pPr>
        <w:pStyle w:val="Sansinterligne"/>
        <w:jc w:val="both"/>
      </w:pPr>
      <w:r>
        <w:t xml:space="preserve">VU le décret n°2010-997 du 26 août 2010 relatif au régime de maintien des primes et indemnités des agents publics de l’Etat et des magistrats de l’ordre judiciaire dans certaines situations de congés, </w:t>
      </w:r>
    </w:p>
    <w:p w14:paraId="39D01EC2" w14:textId="1A8D5D39" w:rsidR="001E31C2" w:rsidRPr="001E31C2" w:rsidRDefault="001E31C2" w:rsidP="00BD57DC">
      <w:pPr>
        <w:pStyle w:val="Sansinterligne"/>
        <w:jc w:val="both"/>
      </w:pPr>
      <w:r w:rsidRPr="00BD57DC">
        <w:rPr>
          <w:b/>
          <w:bCs/>
        </w:rPr>
        <w:t>VU</w:t>
      </w:r>
      <w:r>
        <w:t xml:space="preserve"> le décret n°2014-513 du 20 mai 2014 portant création d’un régime indemnitaire tenant compte des fonctions, des sujétions, de l’expertise et de l’engagement professionnel dans la fonction publique de l’Etat, </w:t>
      </w:r>
    </w:p>
    <w:p w14:paraId="6DCD81C0" w14:textId="0270CC8F" w:rsidR="00F70011" w:rsidRDefault="001E31C2" w:rsidP="00BD57DC">
      <w:pPr>
        <w:pStyle w:val="Sansinterligne"/>
        <w:jc w:val="both"/>
      </w:pPr>
      <w:r w:rsidRPr="00BD57DC">
        <w:rPr>
          <w:b/>
          <w:bCs/>
        </w:rPr>
        <w:t>VU</w:t>
      </w:r>
      <w:r>
        <w:t xml:space="preserve"> la délibération</w:t>
      </w:r>
      <w:r w:rsidR="009F7931">
        <w:t xml:space="preserve"> n°</w:t>
      </w:r>
      <w:r w:rsidRPr="00BD57DC">
        <w:rPr>
          <w:highlight w:val="yellow"/>
        </w:rPr>
        <w:t>……</w:t>
      </w:r>
      <w:r>
        <w:t xml:space="preserve"> en date du</w:t>
      </w:r>
      <w:r w:rsidRPr="00BD57DC">
        <w:rPr>
          <w:highlight w:val="yellow"/>
        </w:rPr>
        <w:t>……</w:t>
      </w:r>
      <w:r>
        <w:t xml:space="preserve"> relative à la mise en place du régime indemnitaire tenant compte des fonctions, des sujétions, de l’expertise et de l’engagement professionnel (R.I.F.S.E.E.P) comprenant l’indemnité de fonctions, de sujétions et d’expertise et le complément indemnitaire annuel, </w:t>
      </w:r>
    </w:p>
    <w:p w14:paraId="552BDFB0" w14:textId="77777777" w:rsidR="009F7931" w:rsidRDefault="009F7931" w:rsidP="00BD57DC">
      <w:pPr>
        <w:pStyle w:val="Sansinterligne"/>
        <w:jc w:val="both"/>
      </w:pPr>
      <w:r w:rsidRPr="009F7931">
        <w:rPr>
          <w:b/>
          <w:bCs/>
        </w:rPr>
        <w:t>Considérant</w:t>
      </w:r>
      <w:r w:rsidRPr="009F7931">
        <w:t xml:space="preserve"> qu’en application du principe de parité dans la fonction publique d’Etat, l’indemnité de fonctions, de sujétions et d’expertise (I.F.S.E) est transposable à la fonction publique territoriale, </w:t>
      </w:r>
    </w:p>
    <w:p w14:paraId="2125F832" w14:textId="1D30434F" w:rsidR="009F7931" w:rsidRDefault="009F7931" w:rsidP="00BD57DC">
      <w:pPr>
        <w:pStyle w:val="Sansinterligne"/>
        <w:jc w:val="both"/>
      </w:pPr>
      <w:r w:rsidRPr="00BD57DC">
        <w:rPr>
          <w:b/>
          <w:bCs/>
        </w:rPr>
        <w:t xml:space="preserve">Considérant </w:t>
      </w:r>
      <w:r>
        <w:t>que Monsieur ou Madame</w:t>
      </w:r>
      <w:r w:rsidRPr="00BD57DC">
        <w:rPr>
          <w:highlight w:val="yellow"/>
        </w:rPr>
        <w:t>……, ………………</w:t>
      </w:r>
      <w:proofErr w:type="gramStart"/>
      <w:r w:rsidRPr="00BD57DC">
        <w:rPr>
          <w:highlight w:val="yellow"/>
        </w:rPr>
        <w:t>…….</w:t>
      </w:r>
      <w:proofErr w:type="gramEnd"/>
      <w:r w:rsidRPr="00BD57DC">
        <w:rPr>
          <w:highlight w:val="yellow"/>
        </w:rPr>
        <w:t>.</w:t>
      </w:r>
      <w:r w:rsidRPr="00BD57DC">
        <w:rPr>
          <w:i/>
          <w:iCs/>
          <w:highlight w:val="yellow"/>
        </w:rPr>
        <w:t>(grade</w:t>
      </w:r>
      <w:r w:rsidRPr="00BD57DC">
        <w:rPr>
          <w:highlight w:val="yellow"/>
        </w:rPr>
        <w:t>),</w:t>
      </w:r>
      <w:r>
        <w:t xml:space="preserve"> exerce les fonctions de</w:t>
      </w:r>
      <w:r w:rsidRPr="00BD57DC">
        <w:rPr>
          <w:highlight w:val="yellow"/>
        </w:rPr>
        <w:t>….</w:t>
      </w:r>
      <w:r>
        <w:t xml:space="preserve"> </w:t>
      </w:r>
      <w:proofErr w:type="gramStart"/>
      <w:r>
        <w:t>classées</w:t>
      </w:r>
      <w:proofErr w:type="gramEnd"/>
      <w:r>
        <w:t xml:space="preserve"> dans le groupe de fonctions n°</w:t>
      </w:r>
      <w:r w:rsidRPr="00BD57DC">
        <w:rPr>
          <w:highlight w:val="yellow"/>
        </w:rPr>
        <w:t>……………</w:t>
      </w:r>
      <w:r>
        <w:t>du cadre d’emplois de</w:t>
      </w:r>
      <w:r w:rsidRPr="00BD57DC">
        <w:rPr>
          <w:highlight w:val="yellow"/>
        </w:rPr>
        <w:t>…..</w:t>
      </w:r>
      <w:r>
        <w:t xml:space="preserve">, </w:t>
      </w:r>
    </w:p>
    <w:p w14:paraId="2125C967" w14:textId="0B6D50B3" w:rsidR="009F7931" w:rsidRDefault="009F7931" w:rsidP="00BD57DC">
      <w:pPr>
        <w:pStyle w:val="Sansinterligne"/>
        <w:jc w:val="both"/>
      </w:pPr>
      <w:r w:rsidRPr="00BD57DC">
        <w:rPr>
          <w:b/>
          <w:bCs/>
        </w:rPr>
        <w:t>Considérant</w:t>
      </w:r>
      <w:r>
        <w:t xml:space="preserve"> l’expérience professionnelle acquise par Monsieur ou Madame</w:t>
      </w:r>
      <w:r w:rsidRPr="00BD57DC">
        <w:rPr>
          <w:highlight w:val="yellow"/>
        </w:rPr>
        <w:t>………………………</w:t>
      </w:r>
      <w:proofErr w:type="gramStart"/>
      <w:r w:rsidRPr="00BD57DC">
        <w:rPr>
          <w:highlight w:val="yellow"/>
        </w:rPr>
        <w:t>…….</w:t>
      </w:r>
      <w:proofErr w:type="gramEnd"/>
      <w:r w:rsidRPr="00BD57DC">
        <w:rPr>
          <w:highlight w:val="yellow"/>
        </w:rPr>
        <w:t>.</w:t>
      </w:r>
      <w:r>
        <w:t>,</w:t>
      </w:r>
    </w:p>
    <w:p w14:paraId="36DE37DA" w14:textId="118FFE87" w:rsidR="009F7931" w:rsidRPr="00BD57DC" w:rsidRDefault="009F7931" w:rsidP="00BD57DC">
      <w:pPr>
        <w:pStyle w:val="Sansinterligne"/>
        <w:jc w:val="both"/>
      </w:pPr>
      <w:r w:rsidRPr="00BD57DC">
        <w:rPr>
          <w:b/>
          <w:bCs/>
        </w:rPr>
        <w:t xml:space="preserve">Considérant </w:t>
      </w:r>
      <w:r>
        <w:t xml:space="preserve">qu’il appartient au </w:t>
      </w:r>
      <w:r w:rsidRPr="00C91A32">
        <w:rPr>
          <w:highlight w:val="yellow"/>
        </w:rPr>
        <w:t>Maire ou au Président</w:t>
      </w:r>
      <w:r>
        <w:t xml:space="preserve"> de déterminer par arrêté, dans le cadre fixé </w:t>
      </w:r>
      <w:r w:rsidRPr="00BD57DC">
        <w:t xml:space="preserve">par la délibération, le montant des attributions individuelles, </w:t>
      </w:r>
    </w:p>
    <w:p w14:paraId="537DC822" w14:textId="5ECBE54E" w:rsidR="00BC56B3" w:rsidRDefault="00BC56B3" w:rsidP="00BD57DC">
      <w:pPr>
        <w:pStyle w:val="Sansinterligne"/>
        <w:jc w:val="both"/>
      </w:pPr>
      <w:r w:rsidRPr="00BD57DC">
        <w:rPr>
          <w:b/>
          <w:bCs/>
          <w:i/>
          <w:iCs/>
          <w:highlight w:val="yellow"/>
        </w:rPr>
        <w:t>(Le cas échéant</w:t>
      </w:r>
      <w:r w:rsidRPr="00BD57DC">
        <w:rPr>
          <w:i/>
          <w:iCs/>
          <w:highlight w:val="yellow"/>
        </w:rPr>
        <w:t>)</w:t>
      </w:r>
      <w:r>
        <w:t xml:space="preserve"> </w:t>
      </w:r>
      <w:r w:rsidRPr="00BD57DC">
        <w:rPr>
          <w:b/>
          <w:bCs/>
        </w:rPr>
        <w:t>Considérant</w:t>
      </w:r>
      <w:r>
        <w:t xml:space="preserve"> que Monsieur ou Madame</w:t>
      </w:r>
      <w:r w:rsidRPr="00BD57DC">
        <w:rPr>
          <w:highlight w:val="yellow"/>
        </w:rPr>
        <w:t>…………</w:t>
      </w:r>
      <w:proofErr w:type="gramStart"/>
      <w:r w:rsidRPr="00BD57DC">
        <w:rPr>
          <w:highlight w:val="yellow"/>
        </w:rPr>
        <w:t>…….</w:t>
      </w:r>
      <w:proofErr w:type="gramEnd"/>
      <w:r>
        <w:t>, effectue un service à temps non complet à raison de</w:t>
      </w:r>
      <w:r w:rsidRPr="00BD57DC">
        <w:rPr>
          <w:highlight w:val="yellow"/>
        </w:rPr>
        <w:t>….</w:t>
      </w:r>
      <w:r>
        <w:t>/35</w:t>
      </w:r>
      <w:r w:rsidRPr="00BC56B3">
        <w:rPr>
          <w:vertAlign w:val="superscript"/>
        </w:rPr>
        <w:t>ème</w:t>
      </w:r>
      <w:r>
        <w:t xml:space="preserve">, </w:t>
      </w:r>
    </w:p>
    <w:p w14:paraId="119D162E" w14:textId="77777777" w:rsidR="009F7931" w:rsidRPr="009F7931" w:rsidRDefault="009F7931" w:rsidP="009F7931">
      <w:pPr>
        <w:pStyle w:val="Sansinterligne"/>
      </w:pPr>
    </w:p>
    <w:p w14:paraId="7D7C8475" w14:textId="77777777" w:rsidR="009F7931" w:rsidRDefault="009F7931" w:rsidP="001E31C2">
      <w:pPr>
        <w:pStyle w:val="Sansinterligne"/>
        <w:jc w:val="both"/>
      </w:pP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5300ECCC" w:rsidR="000750E7" w:rsidRDefault="000750E7" w:rsidP="000750E7">
      <w:pPr>
        <w:tabs>
          <w:tab w:val="left" w:pos="284"/>
          <w:tab w:val="left" w:pos="2268"/>
          <w:tab w:val="left" w:pos="2552"/>
        </w:tabs>
        <w:jc w:val="both"/>
        <w:rPr>
          <w:rFonts w:cstheme="minorHAnsi"/>
        </w:rPr>
      </w:pPr>
      <w:r w:rsidRPr="009E75E0">
        <w:rPr>
          <w:rFonts w:cstheme="minorHAnsi"/>
          <w:b/>
          <w:bCs/>
          <w:u w:val="single"/>
        </w:rPr>
        <w:t>Article 1 :</w:t>
      </w:r>
      <w:r w:rsidRPr="004115D1">
        <w:rPr>
          <w:rFonts w:cstheme="minorHAnsi"/>
          <w:b/>
          <w:bCs/>
        </w:rPr>
        <w:t xml:space="preserve">  </w:t>
      </w:r>
      <w:r w:rsidR="001E31C2" w:rsidRPr="00BC56B3">
        <w:rPr>
          <w:rFonts w:cstheme="minorHAnsi"/>
        </w:rPr>
        <w:t>A compter du</w:t>
      </w:r>
      <w:r w:rsidR="001E31C2" w:rsidRPr="00BD57DC">
        <w:rPr>
          <w:rFonts w:cstheme="minorHAnsi"/>
          <w:highlight w:val="yellow"/>
        </w:rPr>
        <w:t>……</w:t>
      </w:r>
      <w:r w:rsidR="001E31C2" w:rsidRPr="00BC56B3">
        <w:rPr>
          <w:rFonts w:cstheme="minorHAnsi"/>
        </w:rPr>
        <w:t>, Monsieur ou Madame</w:t>
      </w:r>
      <w:r w:rsidR="001E31C2" w:rsidRPr="00BD57DC">
        <w:rPr>
          <w:rFonts w:cstheme="minorHAnsi"/>
          <w:highlight w:val="yellow"/>
        </w:rPr>
        <w:t>…………………</w:t>
      </w:r>
      <w:proofErr w:type="gramStart"/>
      <w:r w:rsidR="001E31C2" w:rsidRPr="00BD57DC">
        <w:rPr>
          <w:rFonts w:cstheme="minorHAnsi"/>
          <w:highlight w:val="yellow"/>
        </w:rPr>
        <w:t>…….</w:t>
      </w:r>
      <w:proofErr w:type="gramEnd"/>
      <w:r w:rsidR="001E31C2" w:rsidRPr="00BD57DC">
        <w:rPr>
          <w:rFonts w:cstheme="minorHAnsi"/>
          <w:highlight w:val="yellow"/>
        </w:rPr>
        <w:t>,……………………</w:t>
      </w:r>
      <w:r w:rsidR="001E31C2" w:rsidRPr="00BC56B3">
        <w:rPr>
          <w:rFonts w:cstheme="minorHAnsi"/>
        </w:rPr>
        <w:t xml:space="preserve"> </w:t>
      </w:r>
      <w:r w:rsidR="001E31C2" w:rsidRPr="00BD57DC">
        <w:rPr>
          <w:rFonts w:cstheme="minorHAnsi"/>
          <w:highlight w:val="yellow"/>
        </w:rPr>
        <w:t>(</w:t>
      </w:r>
      <w:r w:rsidR="001E31C2" w:rsidRPr="00BD57DC">
        <w:rPr>
          <w:rFonts w:cstheme="minorHAnsi"/>
          <w:i/>
          <w:iCs/>
          <w:highlight w:val="yellow"/>
        </w:rPr>
        <w:t>grade)</w:t>
      </w:r>
      <w:r w:rsidR="00BC56B3" w:rsidRPr="00BD57DC">
        <w:rPr>
          <w:rFonts w:cstheme="minorHAnsi"/>
          <w:i/>
          <w:iCs/>
          <w:highlight w:val="yellow"/>
        </w:rPr>
        <w:t>,</w:t>
      </w:r>
      <w:r w:rsidR="00BC56B3" w:rsidRPr="00BC56B3">
        <w:rPr>
          <w:rFonts w:cstheme="minorHAnsi"/>
        </w:rPr>
        <w:t xml:space="preserve"> </w:t>
      </w:r>
      <w:r w:rsidR="001E31C2" w:rsidRPr="00BC56B3">
        <w:rPr>
          <w:rFonts w:cstheme="minorHAnsi"/>
        </w:rPr>
        <w:t>percevra une indemnité de fonctions, de sujétions et d’expertise d’un montant annuel de</w:t>
      </w:r>
      <w:r w:rsidR="001E31C2" w:rsidRPr="00BD57DC">
        <w:rPr>
          <w:rFonts w:cstheme="minorHAnsi"/>
          <w:highlight w:val="yellow"/>
        </w:rPr>
        <w:t>…………..</w:t>
      </w:r>
      <w:r w:rsidR="001E31C2" w:rsidRPr="00BC56B3">
        <w:rPr>
          <w:rFonts w:cstheme="minorHAnsi"/>
        </w:rPr>
        <w:t>€.</w:t>
      </w:r>
    </w:p>
    <w:p w14:paraId="2D499C64" w14:textId="713A6371" w:rsidR="00C177F9" w:rsidRPr="004115D1" w:rsidRDefault="00654D9E" w:rsidP="004D03E1">
      <w:pPr>
        <w:tabs>
          <w:tab w:val="left" w:pos="284"/>
          <w:tab w:val="left" w:pos="2268"/>
          <w:tab w:val="left" w:pos="2552"/>
        </w:tabs>
        <w:jc w:val="both"/>
        <w:rPr>
          <w:rFonts w:cstheme="minorHAnsi"/>
        </w:rPr>
      </w:pPr>
      <w:r w:rsidRPr="009E75E0">
        <w:rPr>
          <w:rFonts w:cstheme="minorHAnsi"/>
          <w:b/>
          <w:bCs/>
          <w:u w:val="single"/>
        </w:rPr>
        <w:t>Article 2</w:t>
      </w:r>
      <w:r>
        <w:rPr>
          <w:rFonts w:cstheme="minorHAnsi"/>
        </w:rPr>
        <w:t xml:space="preserve"> : </w:t>
      </w:r>
      <w:r w:rsidR="001E31C2">
        <w:rPr>
          <w:rFonts w:cstheme="minorHAnsi"/>
        </w:rPr>
        <w:t xml:space="preserve">Cette indemnité sera versée </w:t>
      </w:r>
      <w:r w:rsidR="001E31C2" w:rsidRPr="0002286F">
        <w:rPr>
          <w:rFonts w:cstheme="minorHAnsi"/>
          <w:highlight w:val="yellow"/>
        </w:rPr>
        <w:t>mensuellement/semestriellement/annuellement</w:t>
      </w:r>
      <w:r w:rsidR="001E31C2">
        <w:rPr>
          <w:rFonts w:cstheme="minorHAnsi"/>
        </w:rPr>
        <w:t xml:space="preserve"> à hauteur de</w:t>
      </w:r>
      <w:r w:rsidR="001E31C2" w:rsidRPr="00BD57DC">
        <w:rPr>
          <w:rFonts w:cstheme="minorHAnsi"/>
          <w:highlight w:val="yellow"/>
        </w:rPr>
        <w:t>……</w:t>
      </w:r>
      <w:proofErr w:type="gramStart"/>
      <w:r w:rsidR="001E31C2" w:rsidRPr="00BD57DC">
        <w:rPr>
          <w:rFonts w:cstheme="minorHAnsi"/>
          <w:highlight w:val="yellow"/>
        </w:rPr>
        <w:t>…….</w:t>
      </w:r>
      <w:proofErr w:type="gramEnd"/>
      <w:r w:rsidR="001E31C2">
        <w:rPr>
          <w:rFonts w:cstheme="minorHAnsi"/>
        </w:rPr>
        <w:t>.€</w:t>
      </w:r>
      <w:r w:rsidR="00BC56B3">
        <w:rPr>
          <w:rFonts w:cstheme="minorHAnsi"/>
        </w:rPr>
        <w:t xml:space="preserve"> et sera proratisée en fonction du temps de travail de l’agent.</w:t>
      </w:r>
    </w:p>
    <w:p w14:paraId="27271B54" w14:textId="4DE9EB7F" w:rsidR="000750E7" w:rsidRPr="004115D1" w:rsidRDefault="000750E7" w:rsidP="000750E7">
      <w:pPr>
        <w:jc w:val="both"/>
        <w:rPr>
          <w:rFonts w:cstheme="minorHAnsi"/>
        </w:rPr>
      </w:pPr>
      <w:r w:rsidRPr="009E75E0">
        <w:rPr>
          <w:rFonts w:cstheme="minorHAnsi"/>
          <w:b/>
          <w:u w:val="single"/>
        </w:rPr>
        <w:t xml:space="preserve">Article </w:t>
      </w:r>
      <w:r w:rsidR="009909A0" w:rsidRPr="009E75E0">
        <w:rPr>
          <w:rFonts w:cstheme="minorHAnsi"/>
          <w:b/>
          <w:u w:val="single"/>
        </w:rPr>
        <w:t>3</w:t>
      </w:r>
      <w:r w:rsidR="00F70011" w:rsidRPr="004115D1">
        <w:rPr>
          <w:rFonts w:cstheme="minorHAnsi"/>
          <w:b/>
        </w:rPr>
        <w:t xml:space="preserve"> : </w:t>
      </w:r>
      <w:r w:rsidR="00BC56B3" w:rsidRPr="00BC56B3">
        <w:rPr>
          <w:rFonts w:cstheme="minorHAnsi"/>
          <w:bCs/>
        </w:rPr>
        <w:t>Le directeur général des services ou le secrétaire général de mairie est chargé de l’exécution du présent arrêté.</w:t>
      </w:r>
      <w:r w:rsidR="00BC56B3">
        <w:rPr>
          <w:rFonts w:cstheme="minorHAnsi"/>
          <w:b/>
        </w:rPr>
        <w:t xml:space="preserve"> </w:t>
      </w:r>
    </w:p>
    <w:p w14:paraId="2C88DDF2" w14:textId="53754DE6"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9E75E0">
        <w:rPr>
          <w:rFonts w:eastAsiaTheme="minorEastAsia" w:cstheme="minorHAnsi"/>
          <w:b/>
          <w:bCs/>
          <w:u w:val="single"/>
          <w:lang w:eastAsia="fr-FR"/>
        </w:rPr>
        <w:t xml:space="preserve">Article </w:t>
      </w:r>
      <w:r w:rsidR="009909A0" w:rsidRPr="009E75E0">
        <w:rPr>
          <w:rFonts w:eastAsiaTheme="minorEastAsia" w:cstheme="minorHAnsi"/>
          <w:b/>
          <w:bCs/>
          <w:u w:val="single"/>
          <w:lang w:eastAsia="fr-FR"/>
        </w:rPr>
        <w:t>4</w:t>
      </w:r>
      <w:r w:rsidRPr="004115D1">
        <w:rPr>
          <w:rFonts w:eastAsiaTheme="minorEastAsia" w:cstheme="minorHAnsi"/>
          <w:b/>
          <w:bCs/>
          <w:lang w:eastAsia="fr-FR"/>
        </w:rPr>
        <w:t xml:space="preserve"> </w:t>
      </w:r>
      <w:bookmarkEnd w:id="0"/>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4C4F605A" w14:textId="717294BF" w:rsidR="009909A0" w:rsidRDefault="00E82CBC" w:rsidP="009909A0">
      <w:pPr>
        <w:autoSpaceDE w:val="0"/>
        <w:autoSpaceDN w:val="0"/>
        <w:spacing w:after="0" w:line="240" w:lineRule="auto"/>
        <w:jc w:val="both"/>
        <w:rPr>
          <w:rFonts w:eastAsiaTheme="minorEastAsia" w:cstheme="minorHAnsi"/>
          <w:lang w:eastAsia="fr-FR"/>
        </w:rPr>
      </w:pPr>
      <w:r w:rsidRPr="009E75E0">
        <w:rPr>
          <w:rFonts w:eastAsiaTheme="minorEastAsia" w:cstheme="minorHAnsi"/>
          <w:b/>
          <w:bCs/>
          <w:u w:val="single"/>
          <w:lang w:eastAsia="fr-FR"/>
        </w:rPr>
        <w:t xml:space="preserve">Article </w:t>
      </w:r>
      <w:r w:rsidR="009E75E0" w:rsidRPr="009E75E0">
        <w:rPr>
          <w:rFonts w:eastAsiaTheme="minorEastAsia" w:cstheme="minorHAnsi"/>
          <w:b/>
          <w:bCs/>
          <w:u w:val="single"/>
          <w:lang w:eastAsia="fr-FR"/>
        </w:rPr>
        <w:t>5</w:t>
      </w:r>
      <w:r w:rsidRPr="004115D1">
        <w:rPr>
          <w:rFonts w:eastAsiaTheme="minorEastAsia" w:cstheme="minorHAnsi"/>
          <w:lang w:eastAsia="fr-FR"/>
        </w:rPr>
        <w:t> :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29BD4501" w14:textId="72EEC02D" w:rsidR="00E82CBC" w:rsidRPr="004115D1" w:rsidRDefault="00E82CBC" w:rsidP="009909A0">
      <w:pPr>
        <w:autoSpaceDE w:val="0"/>
        <w:autoSpaceDN w:val="0"/>
        <w:spacing w:after="0" w:line="240" w:lineRule="auto"/>
        <w:jc w:val="both"/>
        <w:rPr>
          <w:rFonts w:eastAsiaTheme="minorEastAsia" w:cstheme="minorHAnsi"/>
          <w:lang w:eastAsia="fr-FR"/>
        </w:rPr>
      </w:pPr>
      <w:r w:rsidRPr="004115D1">
        <w:rPr>
          <w:rFonts w:eastAsiaTheme="minorEastAsia" w:cstheme="minorHAnsi"/>
          <w:lang w:eastAsia="fr-FR"/>
        </w:rPr>
        <w:t xml:space="preserve"> </w:t>
      </w:r>
    </w:p>
    <w:p w14:paraId="5AA63737" w14:textId="77777777" w:rsidR="00F70011" w:rsidRPr="004115D1" w:rsidRDefault="00F70011" w:rsidP="00E82CBC">
      <w:pPr>
        <w:autoSpaceDE w:val="0"/>
        <w:autoSpaceDN w:val="0"/>
        <w:spacing w:after="0" w:line="240" w:lineRule="auto"/>
        <w:rPr>
          <w:rFonts w:eastAsiaTheme="minorEastAsia" w:cstheme="minorHAnsi"/>
          <w:lang w:eastAsia="fr-FR"/>
        </w:rPr>
      </w:pP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p w14:paraId="016603EB" w14:textId="41B0FB7A" w:rsidR="00C74FE8" w:rsidRPr="004115D1" w:rsidRDefault="00C74FE8" w:rsidP="00E82CBC">
      <w:pPr>
        <w:pStyle w:val="VuConsidrant"/>
        <w:spacing w:before="120" w:after="120"/>
        <w:ind w:left="5103"/>
        <w:rPr>
          <w:rFonts w:asciiTheme="minorHAnsi" w:hAnsiTheme="minorHAnsi" w:cstheme="minorHAnsi"/>
          <w:sz w:val="22"/>
          <w:szCs w:val="22"/>
        </w:rPr>
      </w:pPr>
    </w:p>
    <w:p w14:paraId="3DAC5E80" w14:textId="77777777" w:rsidR="00C74FE8" w:rsidRPr="004115D1" w:rsidRDefault="00C74FE8" w:rsidP="00E82CBC">
      <w:pPr>
        <w:pStyle w:val="VuConsidrant"/>
        <w:spacing w:before="120" w:after="120"/>
        <w:ind w:left="5103"/>
        <w:rPr>
          <w:rFonts w:asciiTheme="minorHAnsi" w:hAnsiTheme="minorHAnsi" w:cstheme="minorHAnsi"/>
          <w:sz w:val="22"/>
          <w:szCs w:val="22"/>
        </w:rPr>
      </w:pPr>
    </w:p>
    <w:tbl>
      <w:tblPr>
        <w:tblW w:w="7963" w:type="dxa"/>
        <w:tblInd w:w="-356" w:type="dxa"/>
        <w:tblLayout w:type="fixed"/>
        <w:tblCellMar>
          <w:left w:w="70" w:type="dxa"/>
          <w:right w:w="70" w:type="dxa"/>
        </w:tblCellMar>
        <w:tblLook w:val="0000" w:firstRow="0" w:lastRow="0" w:firstColumn="0" w:lastColumn="0" w:noHBand="0" w:noVBand="0"/>
      </w:tblPr>
      <w:tblGrid>
        <w:gridCol w:w="2942"/>
        <w:gridCol w:w="2829"/>
        <w:gridCol w:w="2192"/>
      </w:tblGrid>
      <w:tr w:rsidR="00E82CBC" w:rsidRPr="00877C55" w14:paraId="7EC9CB58" w14:textId="77777777" w:rsidTr="009909A0">
        <w:trPr>
          <w:cantSplit/>
          <w:trHeight w:val="973"/>
        </w:trPr>
        <w:tc>
          <w:tcPr>
            <w:tcW w:w="2942" w:type="dxa"/>
            <w:tcBorders>
              <w:top w:val="nil"/>
              <w:left w:val="nil"/>
              <w:bottom w:val="nil"/>
              <w:right w:val="nil"/>
            </w:tcBorders>
          </w:tcPr>
          <w:p w14:paraId="7AB61032" w14:textId="77777777" w:rsidR="00E82CBC" w:rsidRDefault="009909A0" w:rsidP="005448CF">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t>Notifié le</w:t>
            </w:r>
            <w:r w:rsidRPr="009909A0">
              <w:rPr>
                <w:rFonts w:eastAsiaTheme="minorEastAsia" w:cstheme="minorHAnsi"/>
                <w:highlight w:val="yellow"/>
                <w:lang w:eastAsia="fr-FR"/>
              </w:rPr>
              <w:t>………</w:t>
            </w:r>
          </w:p>
          <w:p w14:paraId="4F2A3065" w14:textId="024FFC70" w:rsidR="009909A0" w:rsidRPr="009909A0" w:rsidRDefault="009909A0" w:rsidP="005448CF">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 xml:space="preserve">Signature de l’agent </w:t>
            </w:r>
          </w:p>
        </w:tc>
        <w:tc>
          <w:tcPr>
            <w:tcW w:w="2829" w:type="dxa"/>
            <w:tcBorders>
              <w:top w:val="nil"/>
              <w:left w:val="nil"/>
              <w:bottom w:val="nil"/>
              <w:right w:val="nil"/>
            </w:tcBorders>
          </w:tcPr>
          <w:p w14:paraId="208F7F5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15AF3D27" w14:textId="6214F067" w:rsidR="00E82CBC" w:rsidRPr="00877C55" w:rsidRDefault="00E82CBC" w:rsidP="005448CF">
            <w:pPr>
              <w:tabs>
                <w:tab w:val="left" w:pos="6804"/>
              </w:tabs>
              <w:autoSpaceDE w:val="0"/>
              <w:autoSpaceDN w:val="0"/>
              <w:spacing w:after="0" w:line="240" w:lineRule="auto"/>
              <w:jc w:val="both"/>
              <w:rPr>
                <w:rFonts w:eastAsiaTheme="minorEastAsia" w:cstheme="minorHAnsi"/>
                <w:i/>
                <w:iCs/>
                <w:lang w:eastAsia="fr-FR"/>
              </w:rPr>
            </w:pPr>
          </w:p>
        </w:tc>
      </w:tr>
    </w:tbl>
    <w:p w14:paraId="57DF4C8F" w14:textId="77777777" w:rsidR="00E82CBC" w:rsidRPr="00877C55" w:rsidRDefault="00E82CBC" w:rsidP="00F70011">
      <w:pPr>
        <w:autoSpaceDE w:val="0"/>
        <w:autoSpaceDN w:val="0"/>
        <w:spacing w:after="0" w:line="240" w:lineRule="auto"/>
        <w:jc w:val="center"/>
        <w:rPr>
          <w:rFonts w:eastAsiaTheme="minorEastAsia" w:cstheme="minorHAnsi"/>
          <w:b/>
          <w:bCs/>
          <w:lang w:eastAsia="fr-FR"/>
        </w:rPr>
      </w:pPr>
    </w:p>
    <w:p w14:paraId="6EA2847B" w14:textId="77777777" w:rsidR="00877C55" w:rsidRPr="00877C55" w:rsidRDefault="00877C55">
      <w:pPr>
        <w:autoSpaceDE w:val="0"/>
        <w:autoSpaceDN w:val="0"/>
        <w:spacing w:after="0" w:line="240" w:lineRule="auto"/>
        <w:jc w:val="center"/>
        <w:rPr>
          <w:rFonts w:eastAsiaTheme="minorEastAsia" w:cstheme="minorHAnsi"/>
          <w:b/>
          <w:bCs/>
          <w:lang w:eastAsia="fr-FR"/>
        </w:rPr>
      </w:pPr>
    </w:p>
    <w:sectPr w:rsidR="00877C55" w:rsidRPr="00877C55" w:rsidSect="00731DC8">
      <w:headerReference w:type="even" r:id="rId7"/>
      <w:headerReference w:type="default" r:id="rId8"/>
      <w:footerReference w:type="even" r:id="rId9"/>
      <w:footerReference w:type="default" r:id="rId10"/>
      <w:headerReference w:type="first" r:id="rId11"/>
      <w:footerReference w:type="first" r:id="rId1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AB0E" w14:textId="77777777" w:rsidR="00183DA1" w:rsidRDefault="00183DA1" w:rsidP="00056BF2">
      <w:pPr>
        <w:spacing w:after="0" w:line="240" w:lineRule="auto"/>
      </w:pPr>
      <w:r>
        <w:separator/>
      </w:r>
    </w:p>
  </w:endnote>
  <w:endnote w:type="continuationSeparator" w:id="0">
    <w:p w14:paraId="7DE7C1EF" w14:textId="77777777" w:rsidR="00183DA1" w:rsidRDefault="00183DA1"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F433" w14:textId="77777777" w:rsidR="004D03E1" w:rsidRDefault="004D03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79D7267C"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Mis à jour en j</w:t>
    </w:r>
    <w:r w:rsidR="004D03E1">
      <w:rPr>
        <w:color w:val="A6A6A6" w:themeColor="background1" w:themeShade="A6"/>
      </w:rPr>
      <w:t>anvier</w:t>
    </w:r>
    <w:r w:rsidR="009909A0">
      <w:rPr>
        <w:color w:val="A6A6A6" w:themeColor="background1" w:themeShade="A6"/>
      </w:rPr>
      <w:t xml:space="preserve"> 202</w:t>
    </w:r>
    <w:r w:rsidR="004D03E1">
      <w:rPr>
        <w:color w:val="A6A6A6" w:themeColor="background1" w:themeShade="A6"/>
      </w:rPr>
      <w:t>5</w:t>
    </w:r>
    <w:r w:rsidR="00EE34A9" w:rsidRPr="000A5F91">
      <w:rPr>
        <w:color w:val="A6A6A6" w:themeColor="background1" w:themeShade="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AC65" w14:textId="77777777" w:rsidR="004D03E1" w:rsidRDefault="004D03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76C0" w14:textId="77777777" w:rsidR="00183DA1" w:rsidRDefault="00183DA1" w:rsidP="00056BF2">
      <w:pPr>
        <w:spacing w:after="0" w:line="240" w:lineRule="auto"/>
      </w:pPr>
      <w:r>
        <w:separator/>
      </w:r>
    </w:p>
  </w:footnote>
  <w:footnote w:type="continuationSeparator" w:id="0">
    <w:p w14:paraId="5CA42605" w14:textId="77777777" w:rsidR="00183DA1" w:rsidRDefault="00183DA1"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E471" w14:textId="192C35C2" w:rsidR="004D03E1" w:rsidRDefault="00000000">
    <w:pPr>
      <w:pStyle w:val="En-tte"/>
    </w:pPr>
    <w:r>
      <w:rPr>
        <w:noProof/>
      </w:rPr>
      <w:pict w14:anchorId="4DED0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1" o:spid="_x0000_s1026"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48D29D42" w:rsidR="00263BBA" w:rsidRPr="000A5F91" w:rsidRDefault="00000000" w:rsidP="000A5F91">
    <w:pPr>
      <w:pStyle w:val="En-tte"/>
      <w:ind w:left="-426"/>
      <w:rPr>
        <w:color w:val="A6A6A6" w:themeColor="background1" w:themeShade="A6"/>
      </w:rPr>
    </w:pPr>
    <w:r>
      <w:rPr>
        <w:noProof/>
      </w:rPr>
      <w:pict w14:anchorId="309B1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2" o:spid="_x0000_s1027" type="#_x0000_t136" style="position:absolute;left:0;text-align:left;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r w:rsidR="000A5F91" w:rsidRPr="000A5F91">
      <w:rPr>
        <w:color w:val="A6A6A6" w:themeColor="background1" w:themeShade="A6"/>
      </w:rPr>
      <w:t>Insérer le logo de la collectivité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9BE3" w14:textId="1B231014" w:rsidR="004D03E1" w:rsidRDefault="00000000">
    <w:pPr>
      <w:pStyle w:val="En-tte"/>
    </w:pPr>
    <w:r>
      <w:rPr>
        <w:noProof/>
      </w:rPr>
      <w:pict w14:anchorId="1C26E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8000" o:spid="_x0000_s1025"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2286F"/>
    <w:rsid w:val="00056BF2"/>
    <w:rsid w:val="00060A5B"/>
    <w:rsid w:val="000617D8"/>
    <w:rsid w:val="000750E7"/>
    <w:rsid w:val="000A05DF"/>
    <w:rsid w:val="000A5F91"/>
    <w:rsid w:val="000C34C8"/>
    <w:rsid w:val="000D2F55"/>
    <w:rsid w:val="000D75FD"/>
    <w:rsid w:val="000E7A2D"/>
    <w:rsid w:val="000F175D"/>
    <w:rsid w:val="001046B8"/>
    <w:rsid w:val="00111DE4"/>
    <w:rsid w:val="001707AF"/>
    <w:rsid w:val="00183AF8"/>
    <w:rsid w:val="00183D18"/>
    <w:rsid w:val="00183DA1"/>
    <w:rsid w:val="00195015"/>
    <w:rsid w:val="001A1D63"/>
    <w:rsid w:val="001C2FE1"/>
    <w:rsid w:val="001E31C2"/>
    <w:rsid w:val="001F5C88"/>
    <w:rsid w:val="00243559"/>
    <w:rsid w:val="00262FBB"/>
    <w:rsid w:val="00263BBA"/>
    <w:rsid w:val="002714EF"/>
    <w:rsid w:val="00271E05"/>
    <w:rsid w:val="002834BD"/>
    <w:rsid w:val="002B0330"/>
    <w:rsid w:val="00305237"/>
    <w:rsid w:val="00312BD6"/>
    <w:rsid w:val="003316B3"/>
    <w:rsid w:val="0034058A"/>
    <w:rsid w:val="003546D0"/>
    <w:rsid w:val="003765E8"/>
    <w:rsid w:val="00377372"/>
    <w:rsid w:val="0039339F"/>
    <w:rsid w:val="003933FC"/>
    <w:rsid w:val="00394432"/>
    <w:rsid w:val="003B3CF9"/>
    <w:rsid w:val="003C2F62"/>
    <w:rsid w:val="003F1759"/>
    <w:rsid w:val="004030FF"/>
    <w:rsid w:val="004115D1"/>
    <w:rsid w:val="004136A4"/>
    <w:rsid w:val="00421D34"/>
    <w:rsid w:val="0044385C"/>
    <w:rsid w:val="00445BEF"/>
    <w:rsid w:val="00451C77"/>
    <w:rsid w:val="00471B7A"/>
    <w:rsid w:val="00477C3A"/>
    <w:rsid w:val="00486A11"/>
    <w:rsid w:val="00496F9D"/>
    <w:rsid w:val="004A5BFB"/>
    <w:rsid w:val="004D03E1"/>
    <w:rsid w:val="004D7B38"/>
    <w:rsid w:val="004E46DA"/>
    <w:rsid w:val="00510A7B"/>
    <w:rsid w:val="00512F95"/>
    <w:rsid w:val="0055707A"/>
    <w:rsid w:val="005636CB"/>
    <w:rsid w:val="005756E1"/>
    <w:rsid w:val="005A7D2B"/>
    <w:rsid w:val="005B2808"/>
    <w:rsid w:val="005B7338"/>
    <w:rsid w:val="005D34F8"/>
    <w:rsid w:val="005E17FC"/>
    <w:rsid w:val="005F1BB8"/>
    <w:rsid w:val="006040BC"/>
    <w:rsid w:val="00632958"/>
    <w:rsid w:val="0063697E"/>
    <w:rsid w:val="00643939"/>
    <w:rsid w:val="0065323C"/>
    <w:rsid w:val="00654D9E"/>
    <w:rsid w:val="00656796"/>
    <w:rsid w:val="0066124F"/>
    <w:rsid w:val="0066465B"/>
    <w:rsid w:val="006B150E"/>
    <w:rsid w:val="006D156F"/>
    <w:rsid w:val="006D4202"/>
    <w:rsid w:val="007046AB"/>
    <w:rsid w:val="00707459"/>
    <w:rsid w:val="00713F8C"/>
    <w:rsid w:val="00715C08"/>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05E5"/>
    <w:rsid w:val="008B1BE4"/>
    <w:rsid w:val="008B4A78"/>
    <w:rsid w:val="008C1911"/>
    <w:rsid w:val="008C54CC"/>
    <w:rsid w:val="008D1031"/>
    <w:rsid w:val="008D4C86"/>
    <w:rsid w:val="008D63E9"/>
    <w:rsid w:val="008D730D"/>
    <w:rsid w:val="008E6B53"/>
    <w:rsid w:val="00904ED5"/>
    <w:rsid w:val="00905C90"/>
    <w:rsid w:val="0092580F"/>
    <w:rsid w:val="009342D0"/>
    <w:rsid w:val="00945352"/>
    <w:rsid w:val="009508AE"/>
    <w:rsid w:val="009640C0"/>
    <w:rsid w:val="009718A4"/>
    <w:rsid w:val="009909A0"/>
    <w:rsid w:val="00991D3F"/>
    <w:rsid w:val="00992DC4"/>
    <w:rsid w:val="009E0A20"/>
    <w:rsid w:val="009E6A5E"/>
    <w:rsid w:val="009E75E0"/>
    <w:rsid w:val="009F7931"/>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71E30"/>
    <w:rsid w:val="00B755DE"/>
    <w:rsid w:val="00B96EF9"/>
    <w:rsid w:val="00BA7AB4"/>
    <w:rsid w:val="00BB5143"/>
    <w:rsid w:val="00BC56B3"/>
    <w:rsid w:val="00BD1ABB"/>
    <w:rsid w:val="00BD57DC"/>
    <w:rsid w:val="00C12456"/>
    <w:rsid w:val="00C1352D"/>
    <w:rsid w:val="00C16ED7"/>
    <w:rsid w:val="00C177F9"/>
    <w:rsid w:val="00C202BD"/>
    <w:rsid w:val="00C7025B"/>
    <w:rsid w:val="00C73B9F"/>
    <w:rsid w:val="00C74FE8"/>
    <w:rsid w:val="00C91A32"/>
    <w:rsid w:val="00C96588"/>
    <w:rsid w:val="00CA4763"/>
    <w:rsid w:val="00CE7FAC"/>
    <w:rsid w:val="00CF5070"/>
    <w:rsid w:val="00D155E7"/>
    <w:rsid w:val="00D31133"/>
    <w:rsid w:val="00D31F6E"/>
    <w:rsid w:val="00D52960"/>
    <w:rsid w:val="00D92A8D"/>
    <w:rsid w:val="00DE4E97"/>
    <w:rsid w:val="00E02777"/>
    <w:rsid w:val="00E11632"/>
    <w:rsid w:val="00E14433"/>
    <w:rsid w:val="00E26FCC"/>
    <w:rsid w:val="00E32D1B"/>
    <w:rsid w:val="00E82CBC"/>
    <w:rsid w:val="00E849C8"/>
    <w:rsid w:val="00EA13C2"/>
    <w:rsid w:val="00EA6DFE"/>
    <w:rsid w:val="00EB22DB"/>
    <w:rsid w:val="00ED4A04"/>
    <w:rsid w:val="00EE34A9"/>
    <w:rsid w:val="00F3720A"/>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 w:type="character" w:customStyle="1" w:styleId="Titre1Car">
    <w:name w:val="Titre 1 Car"/>
    <w:basedOn w:val="Policepardfaut"/>
    <w:link w:val="Titre1"/>
    <w:uiPriority w:val="9"/>
    <w:rsid w:val="009E75E0"/>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9E7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126897144">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Elise Barritaud</cp:lastModifiedBy>
  <cp:revision>8</cp:revision>
  <cp:lastPrinted>2019-07-22T09:28:00Z</cp:lastPrinted>
  <dcterms:created xsi:type="dcterms:W3CDTF">2023-07-04T07:50:00Z</dcterms:created>
  <dcterms:modified xsi:type="dcterms:W3CDTF">2025-01-03T13:47:00Z</dcterms:modified>
</cp:coreProperties>
</file>