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4F7A" w14:textId="37135FFE" w:rsidR="00FE2A9E" w:rsidRDefault="00DC0EA9" w:rsidP="009132AC">
      <w:pPr>
        <w:jc w:val="center"/>
        <w:rPr>
          <w:rFonts w:asciiTheme="minorHAnsi" w:hAnsiTheme="minorHAnsi" w:cstheme="minorHAnsi"/>
          <w:sz w:val="22"/>
          <w:szCs w:val="22"/>
        </w:rPr>
      </w:pPr>
      <w:bookmarkStart w:id="0" w:name="_Hlk88061793"/>
      <w:r>
        <w:pict w14:anchorId="600A6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35pt;height:98.85pt">
            <v:imagedata r:id="rId7" o:title=""/>
          </v:shape>
        </w:pict>
      </w:r>
    </w:p>
    <w:p w14:paraId="7FC9BD41" w14:textId="77777777" w:rsidR="00FE2A9E" w:rsidRDefault="00FE2A9E" w:rsidP="00F871B4">
      <w:pPr>
        <w:jc w:val="both"/>
        <w:rPr>
          <w:rFonts w:asciiTheme="minorHAnsi" w:hAnsiTheme="minorHAnsi" w:cstheme="minorHAnsi"/>
          <w:sz w:val="22"/>
          <w:szCs w:val="22"/>
        </w:rPr>
      </w:pPr>
    </w:p>
    <w:p w14:paraId="796E60D1" w14:textId="77777777" w:rsidR="00FE2A9E" w:rsidRDefault="00FE2A9E" w:rsidP="00F871B4">
      <w:pPr>
        <w:jc w:val="both"/>
        <w:rPr>
          <w:rFonts w:asciiTheme="minorHAnsi" w:hAnsiTheme="minorHAnsi" w:cstheme="minorHAnsi"/>
          <w:sz w:val="22"/>
          <w:szCs w:val="22"/>
        </w:rPr>
      </w:pPr>
    </w:p>
    <w:p w14:paraId="1A853C05" w14:textId="77777777" w:rsidR="00FE2A9E" w:rsidRPr="00FE2A9E" w:rsidRDefault="00FE2A9E" w:rsidP="00FE2A9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22"/>
          <w:szCs w:val="22"/>
        </w:rPr>
      </w:pPr>
      <w:r>
        <w:rPr>
          <w:rFonts w:asciiTheme="minorHAnsi" w:hAnsiTheme="minorHAnsi" w:cstheme="minorHAnsi"/>
          <w:b/>
          <w:sz w:val="22"/>
          <w:szCs w:val="22"/>
        </w:rPr>
        <w:t xml:space="preserve">PROTECTION SOCIALE COMPLEMENTAIRE – ORGANISATION D’UN </w:t>
      </w:r>
      <w:r w:rsidRPr="00FE2A9E">
        <w:rPr>
          <w:rFonts w:asciiTheme="minorHAnsi" w:hAnsiTheme="minorHAnsi" w:cstheme="minorHAnsi"/>
          <w:b/>
          <w:sz w:val="22"/>
          <w:szCs w:val="22"/>
        </w:rPr>
        <w:t>DEBAT DEVANT L’ASSEMBLEE DELIBERANTE</w:t>
      </w:r>
    </w:p>
    <w:p w14:paraId="045C5CAB" w14:textId="77777777" w:rsidR="00FE2A9E" w:rsidRDefault="00FE2A9E" w:rsidP="00F871B4">
      <w:pPr>
        <w:jc w:val="both"/>
        <w:rPr>
          <w:rFonts w:asciiTheme="minorHAnsi" w:hAnsiTheme="minorHAnsi" w:cstheme="minorHAnsi"/>
          <w:sz w:val="22"/>
          <w:szCs w:val="22"/>
        </w:rPr>
      </w:pPr>
    </w:p>
    <w:p w14:paraId="665BBF38" w14:textId="77777777" w:rsidR="00FE2A9E" w:rsidRDefault="00FE2A9E" w:rsidP="00FE2A9E">
      <w:pPr>
        <w:numPr>
          <w:ilvl w:val="0"/>
          <w:numId w:val="12"/>
        </w:numPr>
        <w:rPr>
          <w:rFonts w:asciiTheme="minorHAnsi" w:hAnsiTheme="minorHAnsi" w:cstheme="minorHAnsi"/>
          <w:b/>
          <w:bCs/>
          <w:sz w:val="22"/>
          <w:szCs w:val="22"/>
        </w:rPr>
      </w:pPr>
      <w:r w:rsidRPr="00FE2A9E">
        <w:rPr>
          <w:rFonts w:asciiTheme="minorHAnsi" w:hAnsiTheme="minorHAnsi" w:cstheme="minorHAnsi"/>
          <w:b/>
          <w:bCs/>
          <w:sz w:val="22"/>
          <w:szCs w:val="22"/>
        </w:rPr>
        <w:t>Ordonnance n° 2021-175 du 17 février 2021 relative à la protection sociale complémentaire dans la fonction publique</w:t>
      </w:r>
    </w:p>
    <w:p w14:paraId="68C3C2E6" w14:textId="77777777" w:rsidR="00FE2A9E" w:rsidRDefault="00FE2A9E" w:rsidP="00FE2A9E">
      <w:pPr>
        <w:jc w:val="both"/>
        <w:rPr>
          <w:rFonts w:asciiTheme="minorHAnsi" w:hAnsiTheme="minorHAnsi" w:cstheme="minorHAnsi"/>
          <w:b/>
          <w:bCs/>
          <w:sz w:val="22"/>
          <w:szCs w:val="22"/>
        </w:rPr>
      </w:pPr>
    </w:p>
    <w:p w14:paraId="3918DF8D" w14:textId="77777777" w:rsidR="00FE2A9E" w:rsidRPr="00FE2A9E" w:rsidRDefault="00FE2A9E" w:rsidP="00FE2A9E">
      <w:pPr>
        <w:jc w:val="both"/>
        <w:rPr>
          <w:rFonts w:asciiTheme="minorHAnsi" w:hAnsiTheme="minorHAnsi" w:cstheme="minorHAnsi"/>
          <w:b/>
          <w:bCs/>
          <w:i/>
          <w:sz w:val="22"/>
          <w:szCs w:val="22"/>
        </w:rPr>
      </w:pPr>
      <w:r w:rsidRPr="00FE2A9E">
        <w:rPr>
          <w:rFonts w:asciiTheme="minorHAnsi" w:hAnsiTheme="minorHAnsi" w:cstheme="minorHAnsi"/>
          <w:b/>
          <w:bCs/>
          <w:i/>
          <w:sz w:val="22"/>
          <w:szCs w:val="22"/>
        </w:rPr>
        <w:t>Rappel de l’obligation</w:t>
      </w:r>
      <w:r>
        <w:rPr>
          <w:rFonts w:asciiTheme="minorHAnsi" w:hAnsiTheme="minorHAnsi" w:cstheme="minorHAnsi"/>
          <w:b/>
          <w:bCs/>
          <w:i/>
          <w:sz w:val="22"/>
          <w:szCs w:val="22"/>
        </w:rPr>
        <w:t xml:space="preserve"> prévue par l’ordonnance</w:t>
      </w:r>
      <w:r w:rsidRPr="00FE2A9E">
        <w:rPr>
          <w:rFonts w:asciiTheme="minorHAnsi" w:hAnsiTheme="minorHAnsi" w:cstheme="minorHAnsi"/>
          <w:b/>
          <w:bCs/>
          <w:i/>
          <w:sz w:val="22"/>
          <w:szCs w:val="22"/>
        </w:rPr>
        <w:t xml:space="preserve"> : </w:t>
      </w:r>
    </w:p>
    <w:p w14:paraId="0A44F094" w14:textId="77777777" w:rsidR="002F732E" w:rsidRPr="00FE2A9E" w:rsidRDefault="00FE2A9E" w:rsidP="00FE2A9E">
      <w:pPr>
        <w:jc w:val="both"/>
        <w:rPr>
          <w:rFonts w:asciiTheme="minorHAnsi" w:hAnsiTheme="minorHAnsi" w:cstheme="minorHAnsi"/>
          <w:b/>
          <w:bCs/>
          <w:i/>
          <w:sz w:val="22"/>
          <w:szCs w:val="22"/>
        </w:rPr>
      </w:pPr>
      <w:r w:rsidRPr="00FE2A9E">
        <w:rPr>
          <w:rFonts w:asciiTheme="minorHAnsi" w:hAnsiTheme="minorHAnsi" w:cstheme="minorHAnsi"/>
          <w:b/>
          <w:bCs/>
          <w:i/>
          <w:sz w:val="22"/>
          <w:szCs w:val="22"/>
        </w:rPr>
        <w:t>Un débat doit être organisé sur les garanties accordées aux agents en matière de Protection sociale complémentaire avant le 19 février 2022 par les assemblées délibérantes des collectivités territoriales et de leurs établissements publics</w:t>
      </w:r>
    </w:p>
    <w:p w14:paraId="11CE14C4" w14:textId="77777777" w:rsidR="00FE2A9E" w:rsidRPr="00FE2A9E" w:rsidRDefault="00FE2A9E" w:rsidP="00FE2A9E">
      <w:pPr>
        <w:jc w:val="center"/>
        <w:rPr>
          <w:rFonts w:asciiTheme="minorHAnsi" w:hAnsiTheme="minorHAnsi" w:cstheme="minorHAnsi"/>
          <w:b/>
          <w:bCs/>
          <w:i/>
          <w:sz w:val="22"/>
          <w:szCs w:val="22"/>
        </w:rPr>
      </w:pPr>
    </w:p>
    <w:p w14:paraId="29FF631E" w14:textId="77777777" w:rsidR="00FE2A9E" w:rsidRDefault="00FE2A9E" w:rsidP="00FE2A9E">
      <w:pPr>
        <w:jc w:val="center"/>
        <w:rPr>
          <w:rFonts w:asciiTheme="minorHAnsi" w:hAnsiTheme="minorHAnsi" w:cstheme="minorHAnsi"/>
          <w:b/>
          <w:bCs/>
          <w:sz w:val="22"/>
          <w:szCs w:val="22"/>
        </w:rPr>
      </w:pPr>
    </w:p>
    <w:p w14:paraId="458A4D6A" w14:textId="77777777" w:rsidR="00FE2A9E" w:rsidRPr="00FE2A9E" w:rsidRDefault="00FE2A9E" w:rsidP="00FE2A9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22"/>
          <w:szCs w:val="22"/>
        </w:rPr>
      </w:pPr>
      <w:r w:rsidRPr="00FE2A9E">
        <w:rPr>
          <w:rFonts w:asciiTheme="minorHAnsi" w:hAnsiTheme="minorHAnsi" w:cstheme="minorHAnsi"/>
          <w:b/>
          <w:sz w:val="22"/>
          <w:szCs w:val="22"/>
        </w:rPr>
        <w:t xml:space="preserve">PROPOSITION DE TRAME DE RAPPORT </w:t>
      </w:r>
    </w:p>
    <w:p w14:paraId="78C0EAE5" w14:textId="77777777" w:rsidR="00937EC6" w:rsidRDefault="00937EC6" w:rsidP="00F871B4">
      <w:pPr>
        <w:jc w:val="both"/>
        <w:rPr>
          <w:rFonts w:ascii="Calibri" w:hAnsi="Calibri" w:cs="Calibri"/>
          <w:sz w:val="22"/>
          <w:szCs w:val="22"/>
        </w:rPr>
      </w:pPr>
    </w:p>
    <w:p w14:paraId="09A49156" w14:textId="24DA2044" w:rsidR="00DC0EA9" w:rsidRDefault="00DC0EA9" w:rsidP="00DC0EA9">
      <w:pPr>
        <w:jc w:val="both"/>
        <w:rPr>
          <w:rFonts w:ascii="Calibri" w:hAnsi="Calibri" w:cs="Calibri"/>
          <w:sz w:val="22"/>
          <w:szCs w:val="22"/>
        </w:rPr>
      </w:pPr>
      <w:bookmarkStart w:id="1" w:name="_Hlk90979731"/>
      <w:bookmarkStart w:id="2" w:name="_Hlk90980407"/>
      <w:r w:rsidRPr="00DC0EA9">
        <w:rPr>
          <w:rFonts w:ascii="Calibri" w:hAnsi="Calibri" w:cs="Calibri"/>
          <w:sz w:val="22"/>
          <w:szCs w:val="22"/>
        </w:rPr>
        <w:t xml:space="preserve">La nouvelle ordonnance n°2021-175 du 17 février 2021 qui attend encore ses décrets d’application à ce jour, prévoit </w:t>
      </w:r>
      <w:r w:rsidRPr="00DC0EA9">
        <w:rPr>
          <w:rFonts w:ascii="Calibri" w:hAnsi="Calibri" w:cs="Calibri"/>
          <w:b/>
          <w:bCs/>
          <w:color w:val="17365D"/>
          <w:sz w:val="22"/>
          <w:szCs w:val="22"/>
        </w:rPr>
        <w:t xml:space="preserve">l’obligation pour les employeurs de participer financièrement aux contrats prévoyance de leurs agents </w:t>
      </w:r>
      <w:r>
        <w:rPr>
          <w:rFonts w:ascii="Calibri" w:hAnsi="Calibri" w:cs="Calibri"/>
          <w:b/>
          <w:bCs/>
          <w:color w:val="17365D"/>
          <w:sz w:val="22"/>
          <w:szCs w:val="22"/>
        </w:rPr>
        <w:t xml:space="preserve">au plus tard </w:t>
      </w:r>
      <w:r w:rsidRPr="00DC0EA9">
        <w:rPr>
          <w:rFonts w:ascii="Calibri" w:hAnsi="Calibri" w:cs="Calibri"/>
          <w:b/>
          <w:bCs/>
          <w:color w:val="17365D"/>
          <w:sz w:val="22"/>
          <w:szCs w:val="22"/>
        </w:rPr>
        <w:t xml:space="preserve">en 2025 (à hauteur de 20% minimum d’un montant de référence) et aux contrats santé </w:t>
      </w:r>
      <w:r>
        <w:rPr>
          <w:rFonts w:ascii="Calibri" w:hAnsi="Calibri" w:cs="Calibri"/>
          <w:b/>
          <w:bCs/>
          <w:color w:val="17365D"/>
          <w:sz w:val="22"/>
          <w:szCs w:val="22"/>
        </w:rPr>
        <w:t xml:space="preserve">au plus tard </w:t>
      </w:r>
      <w:r w:rsidRPr="00DC0EA9">
        <w:rPr>
          <w:rFonts w:ascii="Calibri" w:hAnsi="Calibri" w:cs="Calibri"/>
          <w:b/>
          <w:bCs/>
          <w:color w:val="17365D"/>
          <w:sz w:val="22"/>
          <w:szCs w:val="22"/>
        </w:rPr>
        <w:t>en 2026 (à hauteur de 50 % minimum d’un montant de référence</w:t>
      </w:r>
      <w:r w:rsidRPr="00DC0EA9">
        <w:rPr>
          <w:rFonts w:ascii="Calibri" w:hAnsi="Calibri" w:cs="Calibri"/>
          <w:sz w:val="22"/>
          <w:szCs w:val="22"/>
        </w:rPr>
        <w:t xml:space="preserve">). Reste à déterminer quels seront les montants de référence par décrets en attente de parution. </w:t>
      </w:r>
    </w:p>
    <w:p w14:paraId="5F148633" w14:textId="77777777" w:rsidR="00DC0EA9" w:rsidRPr="00DC0EA9" w:rsidRDefault="00DC0EA9" w:rsidP="00DC0EA9">
      <w:pPr>
        <w:jc w:val="both"/>
        <w:rPr>
          <w:rFonts w:ascii="Calibri" w:hAnsi="Calibri" w:cs="Calibri"/>
          <w:sz w:val="22"/>
          <w:szCs w:val="22"/>
        </w:rPr>
      </w:pPr>
    </w:p>
    <w:bookmarkEnd w:id="2"/>
    <w:p w14:paraId="459AC196" w14:textId="19ECBE65" w:rsidR="00AA0EA8" w:rsidRDefault="00AA0EA8" w:rsidP="00F871B4">
      <w:pPr>
        <w:jc w:val="both"/>
        <w:rPr>
          <w:rFonts w:asciiTheme="minorHAnsi" w:hAnsiTheme="minorHAnsi" w:cstheme="minorHAnsi"/>
          <w:sz w:val="22"/>
          <w:szCs w:val="22"/>
        </w:rPr>
      </w:pPr>
      <w:r>
        <w:rPr>
          <w:rFonts w:asciiTheme="minorHAnsi" w:hAnsiTheme="minorHAnsi" w:cstheme="minorHAnsi"/>
          <w:sz w:val="22"/>
          <w:szCs w:val="22"/>
        </w:rPr>
        <w:t xml:space="preserve">La protection sociale complémentaire </w:t>
      </w:r>
      <w:r w:rsidR="00937EC6" w:rsidRPr="00937EC6">
        <w:rPr>
          <w:rFonts w:ascii="Calibri" w:hAnsi="Calibri" w:cs="Calibri"/>
          <w:sz w:val="22"/>
          <w:szCs w:val="22"/>
        </w:rPr>
        <w:t xml:space="preserve">est constituée des contrats que les agents territoriaux </w:t>
      </w:r>
      <w:r w:rsidR="00937EC6">
        <w:rPr>
          <w:rFonts w:ascii="Calibri" w:hAnsi="Calibri" w:cs="Calibri"/>
          <w:sz w:val="22"/>
          <w:szCs w:val="22"/>
        </w:rPr>
        <w:t xml:space="preserve">peuvent </w:t>
      </w:r>
      <w:r w:rsidR="00937EC6" w:rsidRPr="00937EC6">
        <w:rPr>
          <w:rFonts w:ascii="Calibri" w:hAnsi="Calibri" w:cs="Calibri"/>
          <w:sz w:val="22"/>
          <w:szCs w:val="22"/>
        </w:rPr>
        <w:t>souscri</w:t>
      </w:r>
      <w:r w:rsidR="00937EC6">
        <w:rPr>
          <w:rFonts w:ascii="Calibri" w:hAnsi="Calibri" w:cs="Calibri"/>
          <w:sz w:val="22"/>
          <w:szCs w:val="22"/>
        </w:rPr>
        <w:t xml:space="preserve">re pour se garantir contre deux types de risques liés à la santé </w:t>
      </w:r>
      <w:r>
        <w:rPr>
          <w:rFonts w:asciiTheme="minorHAnsi" w:hAnsiTheme="minorHAnsi" w:cstheme="minorHAnsi"/>
          <w:sz w:val="22"/>
          <w:szCs w:val="22"/>
        </w:rPr>
        <w:t xml:space="preserve">: </w:t>
      </w:r>
    </w:p>
    <w:p w14:paraId="64166DD4" w14:textId="77777777" w:rsidR="00937EC6" w:rsidRDefault="00937EC6" w:rsidP="00F871B4">
      <w:pPr>
        <w:jc w:val="both"/>
        <w:rPr>
          <w:rFonts w:asciiTheme="minorHAnsi" w:hAnsiTheme="minorHAnsi" w:cstheme="minorHAnsi"/>
          <w:sz w:val="22"/>
          <w:szCs w:val="22"/>
        </w:rPr>
      </w:pPr>
    </w:p>
    <w:p w14:paraId="67A09958" w14:textId="2304158A" w:rsidR="00937EC6" w:rsidRDefault="00AA0EA8" w:rsidP="00937EC6">
      <w:pPr>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Les </w:t>
      </w:r>
      <w:r w:rsidR="00DC0EA9" w:rsidRPr="00DC0EA9">
        <w:rPr>
          <w:rFonts w:asciiTheme="minorHAnsi" w:hAnsiTheme="minorHAnsi" w:cstheme="minorHAnsi"/>
          <w:b/>
          <w:bCs/>
          <w:color w:val="17365D" w:themeColor="text2" w:themeShade="BF"/>
          <w:sz w:val="22"/>
          <w:szCs w:val="22"/>
        </w:rPr>
        <w:t>mutuelle</w:t>
      </w:r>
      <w:r w:rsidR="00DC0EA9" w:rsidRPr="00DC0EA9">
        <w:rPr>
          <w:rFonts w:asciiTheme="minorHAnsi" w:hAnsiTheme="minorHAnsi" w:cstheme="minorHAnsi"/>
          <w:b/>
          <w:bCs/>
          <w:color w:val="17365D" w:themeColor="text2" w:themeShade="BF"/>
          <w:sz w:val="22"/>
          <w:szCs w:val="22"/>
        </w:rPr>
        <w:t xml:space="preserve">s (ou </w:t>
      </w:r>
      <w:r w:rsidRPr="00937EC6">
        <w:rPr>
          <w:rFonts w:asciiTheme="minorHAnsi" w:hAnsiTheme="minorHAnsi" w:cstheme="minorHAnsi"/>
          <w:b/>
          <w:bCs/>
          <w:color w:val="17365D" w:themeColor="text2" w:themeShade="BF"/>
          <w:sz w:val="22"/>
          <w:szCs w:val="22"/>
        </w:rPr>
        <w:t>contrats en santé</w:t>
      </w:r>
      <w:r w:rsidR="00DC0EA9">
        <w:rPr>
          <w:rFonts w:asciiTheme="minorHAnsi" w:hAnsiTheme="minorHAnsi" w:cstheme="minorHAnsi"/>
          <w:b/>
          <w:bCs/>
          <w:color w:val="17365D" w:themeColor="text2" w:themeShade="BF"/>
          <w:sz w:val="22"/>
          <w:szCs w:val="22"/>
        </w:rPr>
        <w:t xml:space="preserve">) </w:t>
      </w:r>
      <w:r w:rsidR="008F698B">
        <w:rPr>
          <w:rFonts w:ascii="Calibri" w:hAnsi="Calibri" w:cs="Calibri"/>
          <w:sz w:val="22"/>
          <w:szCs w:val="22"/>
        </w:rPr>
        <w:t xml:space="preserve">qui complètent les remboursements </w:t>
      </w:r>
      <w:r w:rsidR="008F698B" w:rsidRPr="00937EC6">
        <w:rPr>
          <w:rFonts w:ascii="Calibri" w:hAnsi="Calibri" w:cs="Calibri"/>
          <w:sz w:val="22"/>
          <w:szCs w:val="22"/>
        </w:rPr>
        <w:t>de la sécurité sociale</w:t>
      </w:r>
    </w:p>
    <w:p w14:paraId="60C7DEA8" w14:textId="537325FC" w:rsidR="00F871B4" w:rsidRPr="00F871B4" w:rsidRDefault="00937EC6" w:rsidP="00937EC6">
      <w:pPr>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Les </w:t>
      </w:r>
      <w:r w:rsidRPr="00937EC6">
        <w:rPr>
          <w:rFonts w:asciiTheme="minorHAnsi" w:hAnsiTheme="minorHAnsi" w:cstheme="minorHAnsi"/>
          <w:b/>
          <w:bCs/>
          <w:color w:val="17365D" w:themeColor="text2" w:themeShade="BF"/>
          <w:sz w:val="22"/>
          <w:szCs w:val="22"/>
        </w:rPr>
        <w:t>contrats en prévoyance</w:t>
      </w:r>
      <w:r>
        <w:rPr>
          <w:rFonts w:asciiTheme="minorHAnsi" w:hAnsiTheme="minorHAnsi" w:cstheme="minorHAnsi"/>
          <w:b/>
          <w:bCs/>
          <w:color w:val="17365D" w:themeColor="text2" w:themeShade="BF"/>
          <w:sz w:val="22"/>
          <w:szCs w:val="22"/>
        </w:rPr>
        <w:t xml:space="preserve"> (ou garantie maintien de salaire)</w:t>
      </w:r>
      <w:r>
        <w:rPr>
          <w:rFonts w:asciiTheme="minorHAnsi" w:hAnsiTheme="minorHAnsi" w:cstheme="minorHAnsi"/>
          <w:sz w:val="22"/>
          <w:szCs w:val="22"/>
        </w:rPr>
        <w:t xml:space="preserve"> qui </w:t>
      </w:r>
      <w:r w:rsidR="00F871B4" w:rsidRPr="00F871B4">
        <w:rPr>
          <w:rFonts w:asciiTheme="minorHAnsi" w:hAnsiTheme="minorHAnsi" w:cstheme="minorHAnsi"/>
          <w:sz w:val="22"/>
          <w:szCs w:val="22"/>
        </w:rPr>
        <w:t xml:space="preserve">permettent de couvrir le risque de perte de la moitié de leur traitement de base </w:t>
      </w:r>
      <w:bookmarkEnd w:id="1"/>
      <w:r w:rsidR="00F871B4" w:rsidRPr="00F871B4">
        <w:rPr>
          <w:rFonts w:asciiTheme="minorHAnsi" w:hAnsiTheme="minorHAnsi" w:cstheme="minorHAnsi"/>
          <w:sz w:val="22"/>
          <w:szCs w:val="22"/>
        </w:rPr>
        <w:t xml:space="preserve">voire de tout ou partie du régime indemnitaire en fonction des dispositions du règlement intérieur de chaque collectivité en cas d’absence de plus de 3 mois. Le contrat prévoyance peut également prévoir les </w:t>
      </w:r>
      <w:bookmarkStart w:id="3" w:name="_Hlk90979790"/>
      <w:r w:rsidR="00F871B4" w:rsidRPr="00F871B4">
        <w:rPr>
          <w:rFonts w:asciiTheme="minorHAnsi" w:hAnsiTheme="minorHAnsi" w:cstheme="minorHAnsi"/>
          <w:sz w:val="22"/>
          <w:szCs w:val="22"/>
        </w:rPr>
        <w:t>compléments de salaire en cas d’invalidité partielle ou totale et/ou un complément retraite du fait de la décote de pension liée à l’invalidité et/ou un capital décès</w:t>
      </w:r>
      <w:bookmarkEnd w:id="3"/>
      <w:r w:rsidR="00F871B4" w:rsidRPr="00F871B4">
        <w:rPr>
          <w:rFonts w:asciiTheme="minorHAnsi" w:hAnsiTheme="minorHAnsi" w:cstheme="minorHAnsi"/>
          <w:sz w:val="22"/>
          <w:szCs w:val="22"/>
        </w:rPr>
        <w:t>.</w:t>
      </w:r>
    </w:p>
    <w:p w14:paraId="6EB5BC01" w14:textId="3F57D9AB" w:rsidR="00F871B4" w:rsidRDefault="00F871B4" w:rsidP="00F871B4">
      <w:pPr>
        <w:jc w:val="both"/>
      </w:pPr>
    </w:p>
    <w:p w14:paraId="284648E5" w14:textId="3096A8E1" w:rsidR="003C1531" w:rsidRDefault="003C1531" w:rsidP="00F871B4">
      <w:pPr>
        <w:jc w:val="both"/>
        <w:rPr>
          <w:rFonts w:ascii="Calibri" w:hAnsi="Calibri" w:cs="Calibri"/>
          <w:sz w:val="22"/>
          <w:szCs w:val="22"/>
        </w:rPr>
      </w:pPr>
      <w:r w:rsidRPr="003C1531">
        <w:rPr>
          <w:rFonts w:ascii="Calibri" w:hAnsi="Calibri" w:cs="Calibri"/>
          <w:sz w:val="22"/>
          <w:szCs w:val="22"/>
        </w:rPr>
        <w:t>Ces dispositions visent à permettre aux agents de bénéficier d’une couverture assurantielle les garantissant contre la précarité et d’harmoniser avec la législation déjà en vigueur dans le secteur privé.</w:t>
      </w:r>
    </w:p>
    <w:p w14:paraId="1ED995FC" w14:textId="77777777" w:rsidR="003C1531" w:rsidRDefault="003C1531" w:rsidP="00F871B4">
      <w:pPr>
        <w:jc w:val="both"/>
      </w:pPr>
    </w:p>
    <w:p w14:paraId="7E5C9D25" w14:textId="03744400" w:rsidR="00DB0482" w:rsidRDefault="00DC0EA9" w:rsidP="00F871B4">
      <w:pPr>
        <w:jc w:val="both"/>
        <w:rPr>
          <w:rFonts w:asciiTheme="minorHAnsi" w:hAnsiTheme="minorHAnsi" w:cstheme="minorHAnsi"/>
          <w:sz w:val="22"/>
          <w:szCs w:val="22"/>
        </w:rPr>
      </w:pPr>
      <w:r>
        <w:rPr>
          <w:rFonts w:asciiTheme="minorHAnsi" w:hAnsiTheme="minorHAnsi" w:cstheme="minorHAnsi"/>
          <w:sz w:val="22"/>
          <w:szCs w:val="22"/>
        </w:rPr>
        <w:t>Depuis</w:t>
      </w:r>
      <w:r w:rsidR="00F871B4" w:rsidRPr="00F871B4">
        <w:rPr>
          <w:rFonts w:asciiTheme="minorHAnsi" w:hAnsiTheme="minorHAnsi" w:cstheme="minorHAnsi"/>
          <w:sz w:val="22"/>
          <w:szCs w:val="22"/>
        </w:rPr>
        <w:t xml:space="preserve"> 2007</w:t>
      </w:r>
      <w:r>
        <w:rPr>
          <w:rFonts w:asciiTheme="minorHAnsi" w:hAnsiTheme="minorHAnsi" w:cstheme="minorHAnsi"/>
          <w:sz w:val="22"/>
          <w:szCs w:val="22"/>
        </w:rPr>
        <w:t>, les employeurs</w:t>
      </w:r>
      <w:r w:rsidR="00F871B4" w:rsidRPr="00F871B4">
        <w:rPr>
          <w:rFonts w:asciiTheme="minorHAnsi" w:hAnsiTheme="minorHAnsi" w:cstheme="minorHAnsi"/>
          <w:sz w:val="22"/>
          <w:szCs w:val="22"/>
        </w:rPr>
        <w:t xml:space="preserve"> </w:t>
      </w:r>
      <w:r w:rsidRPr="00DC0EA9">
        <w:rPr>
          <w:rFonts w:ascii="Calibri" w:hAnsi="Calibri" w:cs="Calibri"/>
          <w:sz w:val="22"/>
          <w:szCs w:val="22"/>
        </w:rPr>
        <w:t xml:space="preserve">locaux </w:t>
      </w:r>
      <w:r>
        <w:rPr>
          <w:rFonts w:asciiTheme="minorHAnsi" w:hAnsiTheme="minorHAnsi" w:cstheme="minorHAnsi"/>
          <w:sz w:val="22"/>
          <w:szCs w:val="22"/>
        </w:rPr>
        <w:t>peuvent</w:t>
      </w:r>
      <w:r w:rsidR="00F871B4" w:rsidRPr="00F871B4">
        <w:rPr>
          <w:rFonts w:asciiTheme="minorHAnsi" w:hAnsiTheme="minorHAnsi" w:cstheme="minorHAnsi"/>
          <w:sz w:val="22"/>
          <w:szCs w:val="22"/>
        </w:rPr>
        <w:t xml:space="preserve"> </w:t>
      </w:r>
      <w:r>
        <w:rPr>
          <w:rFonts w:asciiTheme="minorHAnsi" w:hAnsiTheme="minorHAnsi" w:cstheme="minorHAnsi"/>
          <w:sz w:val="22"/>
          <w:szCs w:val="22"/>
        </w:rPr>
        <w:t>aider</w:t>
      </w:r>
      <w:r w:rsidR="00F871B4" w:rsidRPr="00F871B4">
        <w:rPr>
          <w:rFonts w:asciiTheme="minorHAnsi" w:hAnsiTheme="minorHAnsi" w:cstheme="minorHAnsi"/>
          <w:sz w:val="22"/>
          <w:szCs w:val="22"/>
        </w:rPr>
        <w:t xml:space="preserve"> financièrement </w:t>
      </w:r>
      <w:r w:rsidRPr="00DC0EA9">
        <w:rPr>
          <w:rFonts w:ascii="Calibri" w:hAnsi="Calibri" w:cs="Calibri"/>
          <w:sz w:val="22"/>
          <w:szCs w:val="22"/>
        </w:rPr>
        <w:t>leurs agents</w:t>
      </w:r>
      <w:r w:rsidRPr="00DC0EA9">
        <w:rPr>
          <w:rFonts w:ascii="Calibri" w:hAnsi="Calibri" w:cs="Calibri"/>
          <w:sz w:val="22"/>
          <w:szCs w:val="22"/>
        </w:rPr>
        <w:t xml:space="preserve"> </w:t>
      </w:r>
      <w:r>
        <w:rPr>
          <w:rFonts w:asciiTheme="minorHAnsi" w:hAnsiTheme="minorHAnsi" w:cstheme="minorHAnsi"/>
          <w:sz w:val="22"/>
          <w:szCs w:val="22"/>
        </w:rPr>
        <w:t>à souscrire ces</w:t>
      </w:r>
      <w:r w:rsidR="00F871B4" w:rsidRPr="00F871B4">
        <w:rPr>
          <w:rFonts w:asciiTheme="minorHAnsi" w:hAnsiTheme="minorHAnsi" w:cstheme="minorHAnsi"/>
          <w:sz w:val="22"/>
          <w:szCs w:val="22"/>
        </w:rPr>
        <w:t xml:space="preserve"> contrats</w:t>
      </w:r>
      <w:r>
        <w:rPr>
          <w:rFonts w:asciiTheme="minorHAnsi" w:hAnsiTheme="minorHAnsi" w:cstheme="minorHAnsi"/>
          <w:sz w:val="22"/>
          <w:szCs w:val="22"/>
        </w:rPr>
        <w:t xml:space="preserve">, suivant l’une des formules suivantes </w:t>
      </w:r>
      <w:r w:rsidR="00DB0482">
        <w:rPr>
          <w:rFonts w:asciiTheme="minorHAnsi" w:hAnsiTheme="minorHAnsi" w:cstheme="minorHAnsi"/>
          <w:sz w:val="22"/>
          <w:szCs w:val="22"/>
        </w:rPr>
        <w:t>:</w:t>
      </w:r>
    </w:p>
    <w:p w14:paraId="150C8050" w14:textId="77777777" w:rsidR="003C1531" w:rsidRDefault="003C1531" w:rsidP="00F871B4">
      <w:pPr>
        <w:jc w:val="both"/>
        <w:rPr>
          <w:rFonts w:asciiTheme="minorHAnsi" w:hAnsiTheme="minorHAnsi" w:cstheme="minorHAnsi"/>
          <w:sz w:val="22"/>
          <w:szCs w:val="22"/>
        </w:rPr>
      </w:pPr>
    </w:p>
    <w:p w14:paraId="72DBE80D" w14:textId="4EBF81E9" w:rsidR="00DB0482" w:rsidRDefault="00DC0EA9" w:rsidP="003C1531">
      <w:pPr>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Soit l’agent souscrit un contrat individuel chez l’assureur de son choix </w:t>
      </w:r>
      <w:r w:rsidR="009073C8">
        <w:rPr>
          <w:rFonts w:asciiTheme="minorHAnsi" w:hAnsiTheme="minorHAnsi" w:cstheme="minorHAnsi"/>
          <w:sz w:val="22"/>
          <w:szCs w:val="22"/>
        </w:rPr>
        <w:t xml:space="preserve">et reçoit l’aide financière de la collectivité (cela s’appelle un </w:t>
      </w:r>
      <w:r w:rsidR="009073C8" w:rsidRPr="009073C8">
        <w:rPr>
          <w:rFonts w:asciiTheme="minorHAnsi" w:hAnsiTheme="minorHAnsi" w:cstheme="minorHAnsi"/>
          <w:b/>
          <w:bCs/>
          <w:color w:val="17365D" w:themeColor="text2" w:themeShade="BF"/>
          <w:sz w:val="22"/>
          <w:szCs w:val="22"/>
        </w:rPr>
        <w:t>contrat labellisé</w:t>
      </w:r>
      <w:r w:rsidR="009073C8">
        <w:rPr>
          <w:rFonts w:asciiTheme="minorHAnsi" w:hAnsiTheme="minorHAnsi" w:cstheme="minorHAnsi"/>
          <w:sz w:val="22"/>
          <w:szCs w:val="22"/>
        </w:rPr>
        <w:t>)</w:t>
      </w:r>
      <w:r w:rsidR="003C1531">
        <w:rPr>
          <w:rFonts w:asciiTheme="minorHAnsi" w:hAnsiTheme="minorHAnsi" w:cstheme="minorHAnsi"/>
          <w:sz w:val="22"/>
          <w:szCs w:val="22"/>
        </w:rPr>
        <w:t xml:space="preserve">. </w:t>
      </w:r>
    </w:p>
    <w:p w14:paraId="164DCB31" w14:textId="0DCD319C" w:rsidR="00DB0482" w:rsidRPr="009073C8" w:rsidRDefault="009073C8" w:rsidP="00195CAD">
      <w:pPr>
        <w:numPr>
          <w:ilvl w:val="0"/>
          <w:numId w:val="14"/>
        </w:numPr>
        <w:jc w:val="both"/>
        <w:rPr>
          <w:rFonts w:asciiTheme="minorHAnsi" w:hAnsiTheme="minorHAnsi" w:cstheme="minorHAnsi"/>
          <w:sz w:val="22"/>
          <w:szCs w:val="22"/>
        </w:rPr>
      </w:pPr>
      <w:r w:rsidRPr="009073C8">
        <w:rPr>
          <w:rFonts w:asciiTheme="minorHAnsi" w:hAnsiTheme="minorHAnsi" w:cstheme="minorHAnsi"/>
          <w:sz w:val="22"/>
          <w:szCs w:val="22"/>
        </w:rPr>
        <w:t xml:space="preserve">Soit </w:t>
      </w:r>
      <w:r w:rsidRPr="009073C8">
        <w:rPr>
          <w:rFonts w:ascii="Calibri" w:hAnsi="Calibri" w:cs="Calibri"/>
          <w:sz w:val="22"/>
          <w:szCs w:val="22"/>
        </w:rPr>
        <w:t>l’employeur choisit et négocie un contrat qui s’appliquera à l’ensemble du personnel</w:t>
      </w:r>
      <w:r>
        <w:rPr>
          <w:rFonts w:ascii="Calibri" w:hAnsi="Calibri" w:cs="Calibri"/>
          <w:sz w:val="22"/>
          <w:szCs w:val="22"/>
        </w:rPr>
        <w:t xml:space="preserve"> (c’est une </w:t>
      </w:r>
      <w:r w:rsidRPr="009073C8">
        <w:rPr>
          <w:rFonts w:asciiTheme="minorHAnsi" w:hAnsiTheme="minorHAnsi" w:cstheme="minorHAnsi"/>
          <w:b/>
          <w:bCs/>
          <w:color w:val="17365D" w:themeColor="text2" w:themeShade="BF"/>
          <w:sz w:val="22"/>
          <w:szCs w:val="22"/>
        </w:rPr>
        <w:t>convention de participation</w:t>
      </w:r>
      <w:r>
        <w:rPr>
          <w:rFonts w:ascii="Calibri" w:hAnsi="Calibri" w:cs="Calibri"/>
          <w:sz w:val="22"/>
          <w:szCs w:val="22"/>
        </w:rPr>
        <w:t>)</w:t>
      </w:r>
    </w:p>
    <w:p w14:paraId="4C056B9B" w14:textId="77777777" w:rsidR="009073C8" w:rsidRPr="009073C8" w:rsidRDefault="009073C8" w:rsidP="009073C8">
      <w:pPr>
        <w:jc w:val="both"/>
        <w:rPr>
          <w:rFonts w:asciiTheme="minorHAnsi" w:hAnsiTheme="minorHAnsi" w:cstheme="minorHAnsi"/>
          <w:sz w:val="22"/>
          <w:szCs w:val="22"/>
        </w:rPr>
      </w:pPr>
    </w:p>
    <w:p w14:paraId="05C38EA2" w14:textId="7C292A36" w:rsidR="00F871B4" w:rsidRPr="00F871B4" w:rsidRDefault="003C1531" w:rsidP="00F871B4">
      <w:pPr>
        <w:jc w:val="both"/>
        <w:rPr>
          <w:rFonts w:asciiTheme="minorHAnsi" w:hAnsiTheme="minorHAnsi" w:cstheme="minorHAnsi"/>
          <w:sz w:val="22"/>
          <w:szCs w:val="22"/>
        </w:rPr>
      </w:pPr>
      <w:r>
        <w:rPr>
          <w:rFonts w:asciiTheme="minorHAnsi" w:hAnsiTheme="minorHAnsi" w:cstheme="minorHAnsi"/>
          <w:sz w:val="22"/>
          <w:szCs w:val="22"/>
        </w:rPr>
        <w:t xml:space="preserve">La souscription d’une convention de participation </w:t>
      </w:r>
      <w:r w:rsidR="00F871B4" w:rsidRPr="00F871B4">
        <w:rPr>
          <w:rFonts w:asciiTheme="minorHAnsi" w:hAnsiTheme="minorHAnsi" w:cstheme="minorHAnsi"/>
          <w:sz w:val="22"/>
          <w:szCs w:val="22"/>
        </w:rPr>
        <w:t>peut être conduite par la collectivité elle-même ou être confiée au centre de gestion agissant de manière groupée pour toutes les collectivités intéressées. L’avantage est dans ce cas de s’affranchir d’une procédure complexe nécessitant des compétences en assurances et en actuariat et d’obtenir des tarifs mutualisés.</w:t>
      </w:r>
    </w:p>
    <w:p w14:paraId="3A439918" w14:textId="77777777" w:rsidR="00F871B4" w:rsidRDefault="00F871B4" w:rsidP="00F871B4">
      <w:pPr>
        <w:jc w:val="both"/>
      </w:pPr>
    </w:p>
    <w:p w14:paraId="558BBAEF" w14:textId="77777777" w:rsidR="00275E4B" w:rsidRDefault="00275E4B" w:rsidP="00F871B4">
      <w:pPr>
        <w:jc w:val="both"/>
        <w:rPr>
          <w:rFonts w:asciiTheme="minorHAnsi" w:hAnsiTheme="minorHAnsi" w:cstheme="minorHAnsi"/>
          <w:sz w:val="22"/>
          <w:szCs w:val="22"/>
        </w:rPr>
      </w:pPr>
    </w:p>
    <w:p w14:paraId="295D54F7" w14:textId="00048609" w:rsidR="00F871B4" w:rsidRPr="00F871B4" w:rsidRDefault="00275E4B" w:rsidP="00F871B4">
      <w:pPr>
        <w:jc w:val="both"/>
        <w:rPr>
          <w:rFonts w:asciiTheme="minorHAnsi" w:hAnsiTheme="minorHAnsi" w:cstheme="minorHAnsi"/>
          <w:sz w:val="22"/>
          <w:szCs w:val="22"/>
        </w:rPr>
      </w:pPr>
      <w:r>
        <w:rPr>
          <w:rFonts w:asciiTheme="minorHAnsi" w:hAnsiTheme="minorHAnsi" w:cstheme="minorHAnsi"/>
          <w:sz w:val="22"/>
          <w:szCs w:val="22"/>
        </w:rPr>
        <w:t>Les employeurs publics</w:t>
      </w:r>
      <w:r w:rsidR="00F871B4" w:rsidRPr="00F871B4">
        <w:rPr>
          <w:rFonts w:asciiTheme="minorHAnsi" w:hAnsiTheme="minorHAnsi" w:cstheme="minorHAnsi"/>
          <w:sz w:val="22"/>
          <w:szCs w:val="22"/>
        </w:rPr>
        <w:t xml:space="preserve"> doivent par ailleurs débat</w:t>
      </w:r>
      <w:r>
        <w:rPr>
          <w:rFonts w:asciiTheme="minorHAnsi" w:hAnsiTheme="minorHAnsi" w:cstheme="minorHAnsi"/>
          <w:sz w:val="22"/>
          <w:szCs w:val="22"/>
        </w:rPr>
        <w:t>tre de la protection sociale complémentaire</w:t>
      </w:r>
      <w:r w:rsidR="00F871B4" w:rsidRPr="00F871B4">
        <w:rPr>
          <w:rFonts w:asciiTheme="minorHAnsi" w:hAnsiTheme="minorHAnsi" w:cstheme="minorHAnsi"/>
          <w:sz w:val="22"/>
          <w:szCs w:val="22"/>
        </w:rPr>
        <w:t xml:space="preserve"> </w:t>
      </w:r>
      <w:r w:rsidR="00F871B4" w:rsidRPr="002F1EF2">
        <w:rPr>
          <w:rFonts w:asciiTheme="minorHAnsi" w:hAnsiTheme="minorHAnsi" w:cstheme="minorHAnsi"/>
          <w:b/>
          <w:bCs/>
          <w:color w:val="17365D" w:themeColor="text2" w:themeShade="BF"/>
          <w:sz w:val="22"/>
          <w:szCs w:val="22"/>
        </w:rPr>
        <w:t>avant le 1</w:t>
      </w:r>
      <w:r w:rsidR="00FE2A9E" w:rsidRPr="002F1EF2">
        <w:rPr>
          <w:rFonts w:asciiTheme="minorHAnsi" w:hAnsiTheme="minorHAnsi" w:cstheme="minorHAnsi"/>
          <w:b/>
          <w:bCs/>
          <w:color w:val="17365D" w:themeColor="text2" w:themeShade="BF"/>
          <w:sz w:val="22"/>
          <w:szCs w:val="22"/>
        </w:rPr>
        <w:t>9</w:t>
      </w:r>
      <w:r w:rsidR="00F871B4" w:rsidRPr="002F1EF2">
        <w:rPr>
          <w:rFonts w:asciiTheme="minorHAnsi" w:hAnsiTheme="minorHAnsi" w:cstheme="minorHAnsi"/>
          <w:b/>
          <w:bCs/>
          <w:color w:val="17365D" w:themeColor="text2" w:themeShade="BF"/>
          <w:sz w:val="22"/>
          <w:szCs w:val="22"/>
        </w:rPr>
        <w:t xml:space="preserve"> février 2022</w:t>
      </w:r>
      <w:r w:rsidR="00F871B4" w:rsidRPr="00F871B4">
        <w:rPr>
          <w:rFonts w:asciiTheme="minorHAnsi" w:hAnsiTheme="minorHAnsi" w:cstheme="minorHAnsi"/>
          <w:sz w:val="22"/>
          <w:szCs w:val="22"/>
        </w:rPr>
        <w:t>. Le débat pourra porter sur les points suivants :</w:t>
      </w:r>
    </w:p>
    <w:p w14:paraId="7C915D72" w14:textId="77777777" w:rsidR="00F871B4" w:rsidRDefault="00F871B4" w:rsidP="00F871B4">
      <w:pPr>
        <w:jc w:val="both"/>
      </w:pPr>
    </w:p>
    <w:p w14:paraId="6FBAD6D2" w14:textId="77777777" w:rsidR="00F871B4" w:rsidRPr="00574AD2" w:rsidRDefault="00F871B4" w:rsidP="00574AD2">
      <w:pPr>
        <w:numPr>
          <w:ilvl w:val="0"/>
          <w:numId w:val="13"/>
        </w:numPr>
        <w:jc w:val="both"/>
        <w:rPr>
          <w:rFonts w:asciiTheme="minorHAnsi" w:hAnsiTheme="minorHAnsi" w:cstheme="minorHAnsi"/>
          <w:sz w:val="22"/>
          <w:szCs w:val="22"/>
        </w:rPr>
      </w:pPr>
      <w:r w:rsidRPr="00574AD2">
        <w:rPr>
          <w:rFonts w:asciiTheme="minorHAnsi" w:hAnsiTheme="minorHAnsi" w:cstheme="minorHAnsi"/>
          <w:sz w:val="22"/>
          <w:szCs w:val="22"/>
        </w:rPr>
        <w:t>Les enjeux de la protection sociale complémentaire (accompagnement social, arbitrages financiers, articulation avec les politiques de prévention, attractivité …)</w:t>
      </w:r>
    </w:p>
    <w:p w14:paraId="6DD03298" w14:textId="77777777" w:rsidR="00F871B4" w:rsidRPr="00574AD2" w:rsidRDefault="00F871B4" w:rsidP="00574AD2">
      <w:pPr>
        <w:numPr>
          <w:ilvl w:val="0"/>
          <w:numId w:val="13"/>
        </w:numPr>
        <w:jc w:val="both"/>
        <w:rPr>
          <w:rFonts w:asciiTheme="minorHAnsi" w:hAnsiTheme="minorHAnsi" w:cstheme="minorHAnsi"/>
          <w:sz w:val="22"/>
          <w:szCs w:val="22"/>
        </w:rPr>
      </w:pPr>
      <w:r w:rsidRPr="00574AD2">
        <w:rPr>
          <w:rFonts w:asciiTheme="minorHAnsi" w:hAnsiTheme="minorHAnsi" w:cstheme="minorHAnsi"/>
          <w:sz w:val="22"/>
          <w:szCs w:val="22"/>
        </w:rPr>
        <w:t>Le rappel de la protection sociale statutaire</w:t>
      </w:r>
    </w:p>
    <w:p w14:paraId="6731D83E" w14:textId="77777777" w:rsidR="00F871B4" w:rsidRPr="00574AD2" w:rsidRDefault="00F871B4" w:rsidP="00574AD2">
      <w:pPr>
        <w:numPr>
          <w:ilvl w:val="0"/>
          <w:numId w:val="13"/>
        </w:numPr>
        <w:jc w:val="both"/>
        <w:rPr>
          <w:rFonts w:asciiTheme="minorHAnsi" w:hAnsiTheme="minorHAnsi" w:cstheme="minorHAnsi"/>
          <w:sz w:val="22"/>
          <w:szCs w:val="22"/>
        </w:rPr>
      </w:pPr>
      <w:r w:rsidRPr="00574AD2">
        <w:rPr>
          <w:rFonts w:asciiTheme="minorHAnsi" w:hAnsiTheme="minorHAnsi" w:cstheme="minorHAnsi"/>
          <w:sz w:val="22"/>
          <w:szCs w:val="22"/>
        </w:rPr>
        <w:t>La nature des garanties envisagées</w:t>
      </w:r>
    </w:p>
    <w:p w14:paraId="7E41B96E" w14:textId="66AB3194" w:rsidR="00F871B4" w:rsidRPr="00574AD2" w:rsidRDefault="00F871B4" w:rsidP="00574AD2">
      <w:pPr>
        <w:numPr>
          <w:ilvl w:val="0"/>
          <w:numId w:val="13"/>
        </w:numPr>
        <w:jc w:val="both"/>
        <w:rPr>
          <w:rFonts w:asciiTheme="minorHAnsi" w:hAnsiTheme="minorHAnsi" w:cstheme="minorHAnsi"/>
          <w:sz w:val="22"/>
          <w:szCs w:val="22"/>
        </w:rPr>
      </w:pPr>
      <w:r w:rsidRPr="00574AD2">
        <w:rPr>
          <w:rFonts w:asciiTheme="minorHAnsi" w:hAnsiTheme="minorHAnsi" w:cstheme="minorHAnsi"/>
          <w:sz w:val="22"/>
          <w:szCs w:val="22"/>
        </w:rPr>
        <w:t>Le niveau de participation</w:t>
      </w:r>
      <w:r w:rsidR="00275E4B" w:rsidRPr="00574AD2">
        <w:rPr>
          <w:rFonts w:asciiTheme="minorHAnsi" w:hAnsiTheme="minorHAnsi" w:cstheme="minorHAnsi"/>
          <w:sz w:val="22"/>
          <w:szCs w:val="22"/>
        </w:rPr>
        <w:t xml:space="preserve"> déjà en place</w:t>
      </w:r>
      <w:r w:rsidRPr="00574AD2">
        <w:rPr>
          <w:rFonts w:asciiTheme="minorHAnsi" w:hAnsiTheme="minorHAnsi" w:cstheme="minorHAnsi"/>
          <w:sz w:val="22"/>
          <w:szCs w:val="22"/>
        </w:rPr>
        <w:t xml:space="preserve"> et sa trajectoire</w:t>
      </w:r>
    </w:p>
    <w:p w14:paraId="04E478A0" w14:textId="77777777" w:rsidR="00F871B4" w:rsidRDefault="00F871B4" w:rsidP="00574AD2">
      <w:pPr>
        <w:numPr>
          <w:ilvl w:val="0"/>
          <w:numId w:val="13"/>
        </w:numPr>
        <w:jc w:val="both"/>
      </w:pPr>
      <w:r w:rsidRPr="00574AD2">
        <w:rPr>
          <w:rFonts w:asciiTheme="minorHAnsi" w:hAnsiTheme="minorHAnsi" w:cstheme="minorHAnsi"/>
          <w:sz w:val="22"/>
          <w:szCs w:val="22"/>
        </w:rPr>
        <w:t>Le calendrier de</w:t>
      </w:r>
      <w:r>
        <w:t xml:space="preserve"> mise en œuvre</w:t>
      </w:r>
    </w:p>
    <w:p w14:paraId="4BF43FD5" w14:textId="77777777" w:rsidR="00F871B4" w:rsidRDefault="00F871B4" w:rsidP="00F871B4"/>
    <w:p w14:paraId="14BA0B36" w14:textId="77777777" w:rsidR="00F871B4" w:rsidRDefault="00F871B4" w:rsidP="00F871B4">
      <w:pPr>
        <w:jc w:val="both"/>
        <w:rPr>
          <w:rFonts w:asciiTheme="minorHAnsi" w:hAnsiTheme="minorHAnsi" w:cstheme="minorHAnsi"/>
          <w:sz w:val="22"/>
          <w:szCs w:val="22"/>
        </w:rPr>
      </w:pPr>
    </w:p>
    <w:p w14:paraId="404CC7FF" w14:textId="77777777" w:rsidR="00F871B4" w:rsidRP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Il s’agit d’une véritable opportunité managériale pour valoriser leur politique de gestion des ressources humaines. En prenant soin de leurs agents, les élus donnent une dynamique positive de travail afin de délivrer une bonne qualité de service aux habitants de leur territoire.</w:t>
      </w:r>
    </w:p>
    <w:p w14:paraId="5CA15003" w14:textId="77777777" w:rsidR="00F871B4" w:rsidRPr="00F871B4" w:rsidRDefault="00F871B4" w:rsidP="00F871B4">
      <w:pPr>
        <w:jc w:val="both"/>
        <w:rPr>
          <w:rFonts w:asciiTheme="minorHAnsi" w:hAnsiTheme="minorHAnsi" w:cstheme="minorHAnsi"/>
          <w:sz w:val="22"/>
          <w:szCs w:val="22"/>
        </w:rPr>
      </w:pPr>
    </w:p>
    <w:p w14:paraId="33875CC8" w14:textId="77777777" w:rsidR="00F871B4" w:rsidRPr="00FE2A9E" w:rsidRDefault="00F871B4" w:rsidP="00F871B4">
      <w:pPr>
        <w:jc w:val="both"/>
        <w:rPr>
          <w:rFonts w:asciiTheme="minorHAnsi" w:hAnsiTheme="minorHAnsi" w:cstheme="minorHAnsi"/>
          <w:sz w:val="22"/>
          <w:szCs w:val="22"/>
        </w:rPr>
      </w:pPr>
      <w:r w:rsidRPr="00FE2A9E">
        <w:rPr>
          <w:rFonts w:asciiTheme="minorHAnsi" w:hAnsiTheme="minorHAnsi" w:cstheme="minorHAnsi"/>
          <w:sz w:val="22"/>
          <w:szCs w:val="22"/>
        </w:rPr>
        <w:t xml:space="preserve">Cette brique assurantielle vient compléter les dispositifs de prévention des risques au travail, de gestion prévisionnelle des emplois et des compétences pour rendre soutenable la pénibilité de certains métiers et limiter la progression de l’absentéisme. </w:t>
      </w:r>
    </w:p>
    <w:p w14:paraId="6AFF2864" w14:textId="77777777" w:rsidR="00F871B4" w:rsidRPr="00FE2A9E" w:rsidRDefault="00F871B4" w:rsidP="00F871B4">
      <w:pPr>
        <w:jc w:val="both"/>
        <w:rPr>
          <w:rFonts w:asciiTheme="minorHAnsi" w:hAnsiTheme="minorHAnsi" w:cstheme="minorHAnsi"/>
          <w:sz w:val="22"/>
          <w:szCs w:val="22"/>
        </w:rPr>
      </w:pPr>
    </w:p>
    <w:p w14:paraId="59BD65F5" w14:textId="792CA061" w:rsid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Ainsi selon un baromètre IFOP pour la MNT de décembre 2020, la couverture des agents est la suivante :</w:t>
      </w:r>
    </w:p>
    <w:p w14:paraId="401190CA" w14:textId="77777777" w:rsidR="00574AD2" w:rsidRPr="00F871B4" w:rsidRDefault="00574AD2" w:rsidP="00F871B4">
      <w:pPr>
        <w:jc w:val="both"/>
        <w:rPr>
          <w:rFonts w:asciiTheme="minorHAnsi" w:hAnsiTheme="minorHAnsi" w:cstheme="minorHAnsi"/>
          <w:sz w:val="22"/>
          <w:szCs w:val="22"/>
        </w:rPr>
      </w:pPr>
    </w:p>
    <w:p w14:paraId="51FD5BEB" w14:textId="77777777" w:rsidR="00F871B4" w:rsidRPr="00574AD2" w:rsidRDefault="00F871B4" w:rsidP="00574AD2">
      <w:pPr>
        <w:numPr>
          <w:ilvl w:val="0"/>
          <w:numId w:val="16"/>
        </w:numPr>
        <w:jc w:val="both"/>
        <w:rPr>
          <w:rFonts w:asciiTheme="minorHAnsi" w:hAnsiTheme="minorHAnsi" w:cstheme="minorHAnsi"/>
          <w:sz w:val="22"/>
          <w:szCs w:val="22"/>
        </w:rPr>
      </w:pPr>
      <w:r w:rsidRPr="00574AD2">
        <w:rPr>
          <w:rFonts w:asciiTheme="minorHAnsi" w:hAnsiTheme="minorHAnsi" w:cstheme="minorHAnsi"/>
          <w:sz w:val="22"/>
          <w:szCs w:val="22"/>
        </w:rPr>
        <w:t>2/3 des collectivités interrogées participent financièrement à la complémentaire santé : 62% ont choisi la labellisation et 38% la convention de participation. Le montant de la participation s’élève en moyenne à 18,90 euros par mois et par agent (contre 17,10 euros en 2017)</w:t>
      </w:r>
    </w:p>
    <w:p w14:paraId="7FBC2022" w14:textId="7CEC706B" w:rsidR="00F871B4" w:rsidRDefault="00F871B4" w:rsidP="00574AD2">
      <w:pPr>
        <w:numPr>
          <w:ilvl w:val="0"/>
          <w:numId w:val="16"/>
        </w:numPr>
        <w:jc w:val="both"/>
        <w:rPr>
          <w:rFonts w:asciiTheme="minorHAnsi" w:hAnsiTheme="minorHAnsi" w:cstheme="minorHAnsi"/>
          <w:sz w:val="22"/>
          <w:szCs w:val="22"/>
        </w:rPr>
      </w:pPr>
      <w:r w:rsidRPr="00574AD2">
        <w:rPr>
          <w:rFonts w:asciiTheme="minorHAnsi" w:hAnsiTheme="minorHAnsi" w:cstheme="minorHAnsi"/>
          <w:sz w:val="22"/>
          <w:szCs w:val="22"/>
        </w:rPr>
        <w:t>Plus des 3/4 des collectivités interrogées participent financièrement à la complémentaire prévoyance : 62% ont choisi la convention de participation et 37% la labellisation. Le montant de la participation s’élève en moyenne à 12,20 euros par mois et par agent (contre 11,40 euros en 2017)</w:t>
      </w:r>
    </w:p>
    <w:p w14:paraId="15A1AD50" w14:textId="77777777" w:rsidR="00574AD2" w:rsidRPr="00574AD2" w:rsidRDefault="00574AD2" w:rsidP="00574AD2">
      <w:pPr>
        <w:ind w:left="720"/>
        <w:jc w:val="both"/>
        <w:rPr>
          <w:rFonts w:asciiTheme="minorHAnsi" w:hAnsiTheme="minorHAnsi" w:cstheme="minorHAnsi"/>
          <w:sz w:val="22"/>
          <w:szCs w:val="22"/>
        </w:rPr>
      </w:pPr>
    </w:p>
    <w:p w14:paraId="3EB8EAB9" w14:textId="77777777" w:rsidR="00577B61"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 xml:space="preserve">Ce sont, donc, 89% des employeurs publics locaux qui déclarent participer financièrement à la protection sociale complémentaire de leurs agents en santé et/ou en prévoyance. Ils mettent en avant que cette participation financière améliore les conditions de travail et de la santé des agents, l’attractivité de la collectivité en tant qu’employeur, le dialogue social et contribue à la motivation des agents. Cette participation financière doit s’apprécier comme véritable investissement dans le domaine des ressources humaines plus que sous l’angle d’un coût budgétaire supplémentaire. Et peut faire l’objet d’une réflexion sur des arbitrages globaux en matière d’action sociale et de protection sociale en lien avec les partenaires sociaux. </w:t>
      </w:r>
    </w:p>
    <w:p w14:paraId="55B896C1" w14:textId="77777777" w:rsidR="00577B61" w:rsidRDefault="00577B61" w:rsidP="00F871B4">
      <w:pPr>
        <w:jc w:val="both"/>
        <w:rPr>
          <w:rFonts w:asciiTheme="minorHAnsi" w:hAnsiTheme="minorHAnsi" w:cstheme="minorHAnsi"/>
          <w:sz w:val="22"/>
          <w:szCs w:val="22"/>
        </w:rPr>
      </w:pPr>
    </w:p>
    <w:p w14:paraId="6F29A96A" w14:textId="076A40C3" w:rsidR="00F871B4" w:rsidRDefault="00F871B4" w:rsidP="00F871B4">
      <w:pPr>
        <w:jc w:val="both"/>
        <w:rPr>
          <w:rFonts w:cs="Calibri"/>
          <w:color w:val="00B050"/>
        </w:rPr>
      </w:pPr>
      <w:bookmarkStart w:id="4" w:name="_Hlk90980600"/>
      <w:r w:rsidRPr="00F871B4">
        <w:rPr>
          <w:rFonts w:asciiTheme="minorHAnsi" w:hAnsiTheme="minorHAnsi" w:cstheme="minorHAnsi"/>
          <w:sz w:val="22"/>
          <w:szCs w:val="22"/>
        </w:rPr>
        <w:t>Le dispositif des conventions de participation renforce l’attractivité des employeurs et peut permettre de gommer certaines disparités entre petites</w:t>
      </w:r>
      <w:r w:rsidRPr="00F871B4">
        <w:rPr>
          <w:rFonts w:cs="Calibri"/>
          <w:color w:val="00B050"/>
        </w:rPr>
        <w:t xml:space="preserve"> </w:t>
      </w:r>
      <w:r w:rsidRPr="00F871B4">
        <w:rPr>
          <w:rFonts w:asciiTheme="minorHAnsi" w:hAnsiTheme="minorHAnsi" w:cstheme="minorHAnsi"/>
          <w:sz w:val="22"/>
          <w:szCs w:val="22"/>
        </w:rPr>
        <w:t>et grandes collectivités</w:t>
      </w:r>
      <w:r w:rsidR="00577B61">
        <w:rPr>
          <w:rFonts w:asciiTheme="minorHAnsi" w:hAnsiTheme="minorHAnsi" w:cstheme="minorHAnsi"/>
          <w:sz w:val="22"/>
          <w:szCs w:val="22"/>
        </w:rPr>
        <w:t xml:space="preserve"> dans la mesure où tous peuvent adhérer à la convention de participation</w:t>
      </w:r>
      <w:r w:rsidRPr="00F871B4">
        <w:rPr>
          <w:rFonts w:asciiTheme="minorHAnsi" w:hAnsiTheme="minorHAnsi" w:cstheme="minorHAnsi"/>
          <w:sz w:val="22"/>
          <w:szCs w:val="22"/>
        </w:rPr>
        <w:t>.</w:t>
      </w:r>
      <w:r w:rsidRPr="00F871B4">
        <w:rPr>
          <w:rFonts w:cs="Calibri"/>
          <w:color w:val="00B050"/>
        </w:rPr>
        <w:t xml:space="preserve"> </w:t>
      </w:r>
    </w:p>
    <w:p w14:paraId="2C554B75" w14:textId="77777777" w:rsidR="00F871B4" w:rsidRPr="00F871B4" w:rsidRDefault="00F871B4" w:rsidP="00F871B4">
      <w:pPr>
        <w:jc w:val="both"/>
        <w:rPr>
          <w:rFonts w:cs="Calibri"/>
          <w:color w:val="00B050"/>
        </w:rPr>
      </w:pPr>
    </w:p>
    <w:p w14:paraId="5F3C9C65" w14:textId="31C39C17" w:rsid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 xml:space="preserve">Dans sa politique d’accompagnement des collectivités en matière de gestion des ressources humaines, le CDG </w:t>
      </w:r>
      <w:r w:rsidR="00577B61">
        <w:rPr>
          <w:rFonts w:asciiTheme="minorHAnsi" w:hAnsiTheme="minorHAnsi" w:cstheme="minorHAnsi"/>
          <w:sz w:val="22"/>
          <w:szCs w:val="22"/>
        </w:rPr>
        <w:t>veut être attentif</w:t>
      </w:r>
      <w:r w:rsidRPr="00F871B4">
        <w:rPr>
          <w:rFonts w:asciiTheme="minorHAnsi" w:hAnsiTheme="minorHAnsi" w:cstheme="minorHAnsi"/>
          <w:sz w:val="22"/>
          <w:szCs w:val="22"/>
        </w:rPr>
        <w:t xml:space="preserve"> à doter les employeurs locaux qui le souhaitent de dispositifs contractuels protecteurs leur permettant de répondre à leurs obligations, de les doter d’outils de conception et de pilotage et d’être un tiers de confiance </w:t>
      </w:r>
    </w:p>
    <w:bookmarkEnd w:id="4"/>
    <w:p w14:paraId="3348C72D" w14:textId="77777777" w:rsidR="00F871B4" w:rsidRDefault="00F871B4" w:rsidP="00F871B4">
      <w:pPr>
        <w:jc w:val="both"/>
        <w:rPr>
          <w:rFonts w:asciiTheme="minorHAnsi" w:hAnsiTheme="minorHAnsi" w:cstheme="minorHAnsi"/>
          <w:sz w:val="22"/>
          <w:szCs w:val="22"/>
        </w:rPr>
      </w:pPr>
    </w:p>
    <w:p w14:paraId="524474EF" w14:textId="376BF261" w:rsidR="00F871B4" w:rsidRDefault="00577B61" w:rsidP="00F871B4">
      <w:pPr>
        <w:jc w:val="both"/>
        <w:rPr>
          <w:rFonts w:asciiTheme="minorHAnsi" w:hAnsiTheme="minorHAnsi" w:cstheme="minorHAnsi"/>
          <w:sz w:val="22"/>
          <w:szCs w:val="22"/>
        </w:rPr>
      </w:pPr>
      <w:r>
        <w:rPr>
          <w:rFonts w:asciiTheme="minorHAnsi" w:hAnsiTheme="minorHAnsi" w:cstheme="minorHAnsi"/>
          <w:sz w:val="22"/>
          <w:szCs w:val="22"/>
        </w:rPr>
        <w:t xml:space="preserve">Dans cette </w:t>
      </w:r>
      <w:r w:rsidR="009A0439">
        <w:rPr>
          <w:rFonts w:asciiTheme="minorHAnsi" w:hAnsiTheme="minorHAnsi" w:cstheme="minorHAnsi"/>
          <w:sz w:val="22"/>
          <w:szCs w:val="22"/>
        </w:rPr>
        <w:t>logique</w:t>
      </w:r>
      <w:r>
        <w:rPr>
          <w:rFonts w:asciiTheme="minorHAnsi" w:hAnsiTheme="minorHAnsi" w:cstheme="minorHAnsi"/>
          <w:sz w:val="22"/>
          <w:szCs w:val="22"/>
        </w:rPr>
        <w:t xml:space="preserve">, </w:t>
      </w:r>
      <w:r w:rsidR="009A0439">
        <w:rPr>
          <w:rFonts w:ascii="Calibri" w:hAnsi="Calibri" w:cs="Calibri"/>
          <w:sz w:val="22"/>
          <w:szCs w:val="22"/>
        </w:rPr>
        <w:t>l’</w:t>
      </w:r>
      <w:r w:rsidR="009A0439" w:rsidRPr="009A0439">
        <w:rPr>
          <w:rFonts w:ascii="Calibri" w:hAnsi="Calibri" w:cs="Calibri"/>
          <w:sz w:val="22"/>
          <w:szCs w:val="22"/>
        </w:rPr>
        <w:t xml:space="preserve">ordonnance n°2021-175 du 17 février 2021 </w:t>
      </w:r>
      <w:r w:rsidR="009A0439">
        <w:rPr>
          <w:rFonts w:asciiTheme="minorHAnsi" w:hAnsiTheme="minorHAnsi" w:cstheme="minorHAnsi"/>
          <w:sz w:val="22"/>
          <w:szCs w:val="22"/>
        </w:rPr>
        <w:t xml:space="preserve">confie </w:t>
      </w:r>
      <w:r w:rsidR="009A0439" w:rsidRPr="009A0439">
        <w:rPr>
          <w:rFonts w:asciiTheme="minorHAnsi" w:hAnsiTheme="minorHAnsi" w:cstheme="minorHAnsi"/>
          <w:b/>
          <w:bCs/>
          <w:color w:val="365F91" w:themeColor="accent1" w:themeShade="BF"/>
          <w:sz w:val="22"/>
          <w:szCs w:val="22"/>
        </w:rPr>
        <w:t>une nouvelle mission obligatoire au</w:t>
      </w:r>
      <w:r w:rsidR="00F871B4" w:rsidRPr="009A0439">
        <w:rPr>
          <w:rFonts w:asciiTheme="minorHAnsi" w:hAnsiTheme="minorHAnsi" w:cstheme="minorHAnsi"/>
          <w:b/>
          <w:bCs/>
          <w:color w:val="365F91" w:themeColor="accent1" w:themeShade="BF"/>
          <w:sz w:val="22"/>
          <w:szCs w:val="22"/>
        </w:rPr>
        <w:t xml:space="preserve">x </w:t>
      </w:r>
      <w:r w:rsidR="002F1EF2" w:rsidRPr="009A0439">
        <w:rPr>
          <w:rFonts w:asciiTheme="minorHAnsi" w:hAnsiTheme="minorHAnsi" w:cstheme="minorHAnsi"/>
          <w:b/>
          <w:bCs/>
          <w:color w:val="365F91" w:themeColor="accent1" w:themeShade="BF"/>
          <w:sz w:val="22"/>
          <w:szCs w:val="22"/>
        </w:rPr>
        <w:t xml:space="preserve">Centres </w:t>
      </w:r>
      <w:r w:rsidR="002F1EF2">
        <w:rPr>
          <w:rFonts w:asciiTheme="minorHAnsi" w:hAnsiTheme="minorHAnsi" w:cstheme="minorHAnsi"/>
          <w:b/>
          <w:bCs/>
          <w:color w:val="365F91" w:themeColor="accent1" w:themeShade="BF"/>
          <w:sz w:val="22"/>
          <w:szCs w:val="22"/>
        </w:rPr>
        <w:t>d</w:t>
      </w:r>
      <w:r w:rsidR="002F1EF2" w:rsidRPr="009A0439">
        <w:rPr>
          <w:rFonts w:asciiTheme="minorHAnsi" w:hAnsiTheme="minorHAnsi" w:cstheme="minorHAnsi"/>
          <w:b/>
          <w:bCs/>
          <w:color w:val="365F91" w:themeColor="accent1" w:themeShade="BF"/>
          <w:sz w:val="22"/>
          <w:szCs w:val="22"/>
        </w:rPr>
        <w:t xml:space="preserve">e Gestion </w:t>
      </w:r>
      <w:r w:rsidR="009A0439">
        <w:rPr>
          <w:rFonts w:asciiTheme="minorHAnsi" w:hAnsiTheme="minorHAnsi" w:cstheme="minorHAnsi"/>
          <w:b/>
          <w:bCs/>
          <w:color w:val="365F91" w:themeColor="accent1" w:themeShade="BF"/>
          <w:sz w:val="22"/>
          <w:szCs w:val="22"/>
        </w:rPr>
        <w:t>qui doivent proposer</w:t>
      </w:r>
      <w:r w:rsidR="00F871B4" w:rsidRPr="009A0439">
        <w:rPr>
          <w:rFonts w:asciiTheme="minorHAnsi" w:hAnsiTheme="minorHAnsi" w:cstheme="minorHAnsi"/>
          <w:b/>
          <w:bCs/>
          <w:color w:val="365F91" w:themeColor="accent1" w:themeShade="BF"/>
          <w:sz w:val="22"/>
          <w:szCs w:val="22"/>
        </w:rPr>
        <w:t xml:space="preserve"> une offre en matière de santé comme de prévoyance avec faculté pour les collectivités ou établissements publics d’y adhérer.</w:t>
      </w:r>
      <w:r w:rsidR="00F52773">
        <w:rPr>
          <w:rFonts w:asciiTheme="minorHAnsi" w:hAnsiTheme="minorHAnsi" w:cstheme="minorHAnsi"/>
          <w:b/>
          <w:bCs/>
          <w:color w:val="365F91" w:themeColor="accent1" w:themeShade="BF"/>
          <w:sz w:val="22"/>
          <w:szCs w:val="22"/>
        </w:rPr>
        <w:t xml:space="preserve"> </w:t>
      </w:r>
      <w:r w:rsidR="009A0439">
        <w:rPr>
          <w:rFonts w:asciiTheme="minorHAnsi" w:hAnsiTheme="minorHAnsi" w:cstheme="minorHAnsi"/>
          <w:sz w:val="22"/>
          <w:szCs w:val="22"/>
        </w:rPr>
        <w:t xml:space="preserve">Le Centre de Gestion de l’Indre proposera une convention de participation en santé et en prévoyance dès le </w:t>
      </w:r>
      <w:r w:rsidR="00F52773">
        <w:rPr>
          <w:rFonts w:asciiTheme="minorHAnsi" w:hAnsiTheme="minorHAnsi" w:cstheme="minorHAnsi"/>
          <w:sz w:val="22"/>
          <w:szCs w:val="22"/>
        </w:rPr>
        <w:br/>
      </w:r>
      <w:r w:rsidR="009A0439">
        <w:rPr>
          <w:rFonts w:asciiTheme="minorHAnsi" w:hAnsiTheme="minorHAnsi" w:cstheme="minorHAnsi"/>
          <w:sz w:val="22"/>
          <w:szCs w:val="22"/>
        </w:rPr>
        <w:t>1</w:t>
      </w:r>
      <w:r w:rsidR="009A0439" w:rsidRPr="009A0439">
        <w:rPr>
          <w:rFonts w:asciiTheme="minorHAnsi" w:hAnsiTheme="minorHAnsi" w:cstheme="minorHAnsi"/>
          <w:sz w:val="22"/>
          <w:szCs w:val="22"/>
          <w:vertAlign w:val="superscript"/>
        </w:rPr>
        <w:t>er</w:t>
      </w:r>
      <w:r w:rsidR="009A0439">
        <w:rPr>
          <w:rFonts w:asciiTheme="minorHAnsi" w:hAnsiTheme="minorHAnsi" w:cstheme="minorHAnsi"/>
          <w:sz w:val="22"/>
          <w:szCs w:val="22"/>
        </w:rPr>
        <w:t xml:space="preserve"> janvier 2023 au bénéfice de l’ensemble des </w:t>
      </w:r>
      <w:r w:rsidR="00F52773">
        <w:rPr>
          <w:rFonts w:asciiTheme="minorHAnsi" w:hAnsiTheme="minorHAnsi" w:cstheme="minorHAnsi"/>
          <w:sz w:val="22"/>
          <w:szCs w:val="22"/>
        </w:rPr>
        <w:t>communes</w:t>
      </w:r>
      <w:r w:rsidR="009A0439">
        <w:rPr>
          <w:rFonts w:asciiTheme="minorHAnsi" w:hAnsiTheme="minorHAnsi" w:cstheme="minorHAnsi"/>
          <w:sz w:val="22"/>
          <w:szCs w:val="22"/>
        </w:rPr>
        <w:t xml:space="preserve"> et établissements </w:t>
      </w:r>
      <w:r w:rsidR="00F52773">
        <w:rPr>
          <w:rFonts w:asciiTheme="minorHAnsi" w:hAnsiTheme="minorHAnsi" w:cstheme="minorHAnsi"/>
          <w:sz w:val="22"/>
          <w:szCs w:val="22"/>
        </w:rPr>
        <w:t xml:space="preserve">publics </w:t>
      </w:r>
      <w:r w:rsidR="009A0439">
        <w:rPr>
          <w:rFonts w:asciiTheme="minorHAnsi" w:hAnsiTheme="minorHAnsi" w:cstheme="minorHAnsi"/>
          <w:sz w:val="22"/>
          <w:szCs w:val="22"/>
        </w:rPr>
        <w:t>qui souhaiteront y adhérer</w:t>
      </w:r>
      <w:r w:rsidR="00F52773">
        <w:rPr>
          <w:rFonts w:asciiTheme="minorHAnsi" w:hAnsiTheme="minorHAnsi" w:cstheme="minorHAnsi"/>
          <w:sz w:val="22"/>
          <w:szCs w:val="22"/>
        </w:rPr>
        <w:t xml:space="preserve">. </w:t>
      </w:r>
    </w:p>
    <w:p w14:paraId="7334BFA4" w14:textId="77777777" w:rsidR="00F871B4" w:rsidRPr="00F871B4" w:rsidRDefault="00F871B4" w:rsidP="00F871B4">
      <w:pPr>
        <w:jc w:val="both"/>
        <w:rPr>
          <w:rFonts w:asciiTheme="minorHAnsi" w:hAnsiTheme="minorHAnsi" w:cstheme="minorHAnsi"/>
          <w:sz w:val="22"/>
          <w:szCs w:val="22"/>
        </w:rPr>
      </w:pPr>
    </w:p>
    <w:p w14:paraId="49A8FCB3" w14:textId="29EF8044" w:rsid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 xml:space="preserve">Reste </w:t>
      </w:r>
      <w:r w:rsidR="002F1EF2" w:rsidRPr="002F1EF2">
        <w:rPr>
          <w:rFonts w:ascii="Calibri" w:hAnsi="Calibri" w:cs="Calibri"/>
          <w:sz w:val="22"/>
          <w:szCs w:val="22"/>
        </w:rPr>
        <w:t xml:space="preserve">un certain nombre de points à préciser </w:t>
      </w:r>
      <w:r w:rsidRPr="00F871B4">
        <w:rPr>
          <w:rFonts w:asciiTheme="minorHAnsi" w:hAnsiTheme="minorHAnsi" w:cstheme="minorHAnsi"/>
          <w:sz w:val="22"/>
          <w:szCs w:val="22"/>
        </w:rPr>
        <w:t>à travers les décrets d’application de l’ordonnance sur la protection sociale complémentaire. Parmi eux :</w:t>
      </w:r>
    </w:p>
    <w:p w14:paraId="0BFCE691" w14:textId="77777777" w:rsidR="009A0439" w:rsidRPr="00F871B4" w:rsidRDefault="009A0439" w:rsidP="00F871B4">
      <w:pPr>
        <w:jc w:val="both"/>
        <w:rPr>
          <w:rFonts w:asciiTheme="minorHAnsi" w:hAnsiTheme="minorHAnsi" w:cstheme="minorHAnsi"/>
          <w:sz w:val="22"/>
          <w:szCs w:val="22"/>
        </w:rPr>
      </w:pPr>
    </w:p>
    <w:p w14:paraId="72F33E42" w14:textId="77777777" w:rsidR="00F871B4" w:rsidRPr="00574AD2" w:rsidRDefault="00F871B4" w:rsidP="00574AD2">
      <w:pPr>
        <w:numPr>
          <w:ilvl w:val="0"/>
          <w:numId w:val="13"/>
        </w:numPr>
        <w:jc w:val="both"/>
        <w:rPr>
          <w:rFonts w:asciiTheme="minorHAnsi" w:hAnsiTheme="minorHAnsi" w:cstheme="minorHAnsi"/>
          <w:sz w:val="22"/>
          <w:szCs w:val="22"/>
        </w:rPr>
      </w:pPr>
      <w:r w:rsidRPr="00574AD2">
        <w:rPr>
          <w:rFonts w:asciiTheme="minorHAnsi" w:hAnsiTheme="minorHAnsi" w:cstheme="minorHAnsi"/>
          <w:sz w:val="22"/>
          <w:szCs w:val="22"/>
        </w:rPr>
        <w:t>Le montant de référence sur lequel se basera la participation (quel panier de soins minimal pourra correspondre en santé, quelle garantie en prévoyance) et quel indice de révision ?</w:t>
      </w:r>
    </w:p>
    <w:p w14:paraId="78A86501" w14:textId="77777777" w:rsidR="00F871B4" w:rsidRPr="00574AD2" w:rsidRDefault="00F871B4" w:rsidP="00574AD2">
      <w:pPr>
        <w:numPr>
          <w:ilvl w:val="0"/>
          <w:numId w:val="13"/>
        </w:numPr>
        <w:jc w:val="both"/>
        <w:rPr>
          <w:rFonts w:asciiTheme="minorHAnsi" w:hAnsiTheme="minorHAnsi" w:cstheme="minorHAnsi"/>
          <w:sz w:val="22"/>
          <w:szCs w:val="22"/>
        </w:rPr>
      </w:pPr>
      <w:r w:rsidRPr="00574AD2">
        <w:rPr>
          <w:rFonts w:asciiTheme="minorHAnsi" w:hAnsiTheme="minorHAnsi" w:cstheme="minorHAnsi"/>
          <w:sz w:val="22"/>
          <w:szCs w:val="22"/>
        </w:rPr>
        <w:t>La portabilité des contrats en cas de mobilité</w:t>
      </w:r>
    </w:p>
    <w:p w14:paraId="6F37E174" w14:textId="77777777" w:rsidR="00F871B4" w:rsidRPr="00574AD2" w:rsidRDefault="00F871B4" w:rsidP="00574AD2">
      <w:pPr>
        <w:numPr>
          <w:ilvl w:val="0"/>
          <w:numId w:val="13"/>
        </w:numPr>
        <w:jc w:val="both"/>
        <w:rPr>
          <w:rFonts w:asciiTheme="minorHAnsi" w:hAnsiTheme="minorHAnsi" w:cstheme="minorHAnsi"/>
          <w:sz w:val="22"/>
          <w:szCs w:val="22"/>
        </w:rPr>
      </w:pPr>
      <w:r w:rsidRPr="00574AD2">
        <w:rPr>
          <w:rFonts w:asciiTheme="minorHAnsi" w:hAnsiTheme="minorHAnsi" w:cstheme="minorHAnsi"/>
          <w:sz w:val="22"/>
          <w:szCs w:val="22"/>
        </w:rPr>
        <w:t>Le public éligible</w:t>
      </w:r>
    </w:p>
    <w:p w14:paraId="4DD1165A" w14:textId="77777777" w:rsidR="00F871B4" w:rsidRPr="00574AD2" w:rsidRDefault="00F871B4" w:rsidP="00574AD2">
      <w:pPr>
        <w:numPr>
          <w:ilvl w:val="0"/>
          <w:numId w:val="13"/>
        </w:numPr>
        <w:jc w:val="both"/>
        <w:rPr>
          <w:rFonts w:asciiTheme="minorHAnsi" w:hAnsiTheme="minorHAnsi" w:cstheme="minorHAnsi"/>
          <w:sz w:val="22"/>
          <w:szCs w:val="22"/>
        </w:rPr>
      </w:pPr>
      <w:r w:rsidRPr="00574AD2">
        <w:rPr>
          <w:rFonts w:asciiTheme="minorHAnsi" w:hAnsiTheme="minorHAnsi" w:cstheme="minorHAnsi"/>
          <w:sz w:val="22"/>
          <w:szCs w:val="22"/>
        </w:rPr>
        <w:t>Les critères de solidarité intergénérationnelle exigibles lors des consultations</w:t>
      </w:r>
    </w:p>
    <w:p w14:paraId="6953543C" w14:textId="77777777" w:rsidR="00F871B4" w:rsidRPr="00574AD2" w:rsidRDefault="00F871B4" w:rsidP="00574AD2">
      <w:pPr>
        <w:numPr>
          <w:ilvl w:val="0"/>
          <w:numId w:val="13"/>
        </w:numPr>
        <w:jc w:val="both"/>
        <w:rPr>
          <w:rFonts w:asciiTheme="minorHAnsi" w:hAnsiTheme="minorHAnsi" w:cstheme="minorHAnsi"/>
          <w:sz w:val="22"/>
          <w:szCs w:val="22"/>
        </w:rPr>
      </w:pPr>
      <w:r w:rsidRPr="00574AD2">
        <w:rPr>
          <w:rFonts w:asciiTheme="minorHAnsi" w:hAnsiTheme="minorHAnsi" w:cstheme="minorHAnsi"/>
          <w:sz w:val="22"/>
          <w:szCs w:val="22"/>
        </w:rPr>
        <w:t>La situation des retraités</w:t>
      </w:r>
    </w:p>
    <w:p w14:paraId="3CD35DF6" w14:textId="77777777" w:rsidR="00F871B4" w:rsidRPr="00574AD2" w:rsidRDefault="00F871B4" w:rsidP="00574AD2">
      <w:pPr>
        <w:numPr>
          <w:ilvl w:val="0"/>
          <w:numId w:val="13"/>
        </w:numPr>
        <w:jc w:val="both"/>
        <w:rPr>
          <w:rFonts w:asciiTheme="minorHAnsi" w:hAnsiTheme="minorHAnsi" w:cstheme="minorHAnsi"/>
          <w:sz w:val="22"/>
          <w:szCs w:val="22"/>
        </w:rPr>
      </w:pPr>
      <w:r w:rsidRPr="00574AD2">
        <w:rPr>
          <w:rFonts w:asciiTheme="minorHAnsi" w:hAnsiTheme="minorHAnsi" w:cstheme="minorHAnsi"/>
          <w:sz w:val="22"/>
          <w:szCs w:val="22"/>
        </w:rPr>
        <w:t>La situation des agents multi-employeurs</w:t>
      </w:r>
    </w:p>
    <w:p w14:paraId="13C869E1" w14:textId="77777777" w:rsidR="00F871B4" w:rsidRDefault="00F871B4" w:rsidP="00574AD2">
      <w:pPr>
        <w:numPr>
          <w:ilvl w:val="0"/>
          <w:numId w:val="13"/>
        </w:numPr>
        <w:jc w:val="both"/>
      </w:pPr>
      <w:r w:rsidRPr="00574AD2">
        <w:rPr>
          <w:rFonts w:asciiTheme="minorHAnsi" w:hAnsiTheme="minorHAnsi" w:cstheme="minorHAnsi"/>
          <w:sz w:val="22"/>
          <w:szCs w:val="22"/>
        </w:rPr>
        <w:t>La fiscalité applicable (agent et employeur</w:t>
      </w:r>
      <w:r>
        <w:t>)</w:t>
      </w:r>
    </w:p>
    <w:p w14:paraId="10B1B50B" w14:textId="345295BF" w:rsidR="009A0439" w:rsidRPr="00574AD2" w:rsidRDefault="00F871B4" w:rsidP="00574AD2">
      <w:pPr>
        <w:numPr>
          <w:ilvl w:val="0"/>
          <w:numId w:val="13"/>
        </w:numPr>
        <w:jc w:val="both"/>
        <w:rPr>
          <w:rFonts w:asciiTheme="minorHAnsi" w:hAnsiTheme="minorHAnsi" w:cstheme="minorHAnsi"/>
          <w:sz w:val="22"/>
          <w:szCs w:val="22"/>
        </w:rPr>
      </w:pPr>
      <w:r w:rsidRPr="00574AD2">
        <w:rPr>
          <w:rFonts w:asciiTheme="minorHAnsi" w:hAnsiTheme="minorHAnsi" w:cstheme="minorHAnsi"/>
          <w:sz w:val="22"/>
          <w:szCs w:val="22"/>
        </w:rPr>
        <w:t>….</w:t>
      </w:r>
    </w:p>
    <w:p w14:paraId="5F479F2B" w14:textId="77777777" w:rsidR="009A0439" w:rsidRDefault="009A0439" w:rsidP="009A0439">
      <w:pPr>
        <w:pStyle w:val="Paragraphedeliste"/>
      </w:pPr>
    </w:p>
    <w:p w14:paraId="7460C0A3" w14:textId="20F8373B" w:rsidR="009A0439" w:rsidRPr="00275E4B" w:rsidRDefault="009A0439" w:rsidP="009A0439">
      <w:pPr>
        <w:jc w:val="both"/>
        <w:rPr>
          <w:rFonts w:ascii="Calibri" w:hAnsi="Calibri" w:cs="Calibri"/>
          <w:sz w:val="22"/>
          <w:szCs w:val="22"/>
        </w:rPr>
      </w:pPr>
      <w:r>
        <w:rPr>
          <w:rFonts w:ascii="Calibri" w:hAnsi="Calibri" w:cs="Calibri"/>
          <w:sz w:val="22"/>
          <w:szCs w:val="22"/>
        </w:rPr>
        <w:t>En dernier lieu, l</w:t>
      </w:r>
      <w:r w:rsidRPr="00275E4B">
        <w:rPr>
          <w:rFonts w:ascii="Calibri" w:hAnsi="Calibri" w:cs="Calibri"/>
          <w:sz w:val="22"/>
          <w:szCs w:val="22"/>
        </w:rPr>
        <w:t>’ordonnance n°2021-174 du 17 février 2021 relative à la négociation et aux accords collectifs dans la fonction publique prévoi</w:t>
      </w:r>
      <w:r>
        <w:rPr>
          <w:rFonts w:ascii="Calibri" w:hAnsi="Calibri" w:cs="Calibri"/>
          <w:sz w:val="22"/>
          <w:szCs w:val="22"/>
        </w:rPr>
        <w:t xml:space="preserve">t </w:t>
      </w:r>
      <w:r w:rsidRPr="00275E4B">
        <w:rPr>
          <w:rFonts w:ascii="Calibri" w:hAnsi="Calibri" w:cs="Calibri"/>
          <w:sz w:val="22"/>
          <w:szCs w:val="22"/>
        </w:rPr>
        <w:t>que les organisations syndicales peuvent conclure et signer des accords portant sur différents domaines de la gestion des ressources humaines et notamment de la protection sociale complémentaire.</w:t>
      </w:r>
      <w:r>
        <w:rPr>
          <w:rFonts w:ascii="Calibri" w:hAnsi="Calibri" w:cs="Calibri"/>
          <w:sz w:val="22"/>
          <w:szCs w:val="22"/>
        </w:rPr>
        <w:t xml:space="preserve"> </w:t>
      </w:r>
    </w:p>
    <w:p w14:paraId="377C1412" w14:textId="77777777" w:rsidR="00F871B4" w:rsidRDefault="00F871B4" w:rsidP="00F871B4">
      <w:pPr>
        <w:pStyle w:val="Paragraphedeliste"/>
        <w:ind w:left="0"/>
      </w:pPr>
    </w:p>
    <w:p w14:paraId="2E1AC836" w14:textId="77777777" w:rsidR="00F871B4" w:rsidRDefault="001C5B2D" w:rsidP="00F871B4">
      <w:pPr>
        <w:pStyle w:val="Paragraphedeliste"/>
        <w:ind w:left="0"/>
      </w:pPr>
      <w:r>
        <w:t xml:space="preserve">Il convient donc de débattre des principaux points ci-dessous : </w:t>
      </w:r>
    </w:p>
    <w:p w14:paraId="547F9901" w14:textId="77777777" w:rsidR="00F871B4" w:rsidRDefault="00F871B4" w:rsidP="00F871B4">
      <w:pPr>
        <w:pStyle w:val="Paragraphedeliste"/>
        <w:ind w:left="0"/>
      </w:pPr>
    </w:p>
    <w:p w14:paraId="3E1DAFF4" w14:textId="77777777" w:rsidR="00F871B4" w:rsidRDefault="00F871B4" w:rsidP="00574AD2">
      <w:pPr>
        <w:pStyle w:val="Paragraphedeliste"/>
        <w:numPr>
          <w:ilvl w:val="0"/>
          <w:numId w:val="15"/>
        </w:numPr>
      </w:pPr>
      <w:r>
        <w:t>Les enjeux de la protection sociale complémentaire (accompagnement social, arbitrages financiers, articulation avec les politiques de prévention, attractivité …) :</w:t>
      </w:r>
    </w:p>
    <w:p w14:paraId="13F3EF65" w14:textId="77777777" w:rsidR="00F871B4" w:rsidRDefault="00F871B4" w:rsidP="00F871B4">
      <w:pPr>
        <w:pStyle w:val="Paragraphedeliste"/>
        <w:ind w:left="0"/>
      </w:pPr>
    </w:p>
    <w:p w14:paraId="1033C1AC" w14:textId="77777777" w:rsidR="001C5B2D" w:rsidRDefault="001C5B2D" w:rsidP="00F871B4">
      <w:pPr>
        <w:pStyle w:val="Paragraphedeliste"/>
        <w:ind w:left="0"/>
      </w:pPr>
    </w:p>
    <w:p w14:paraId="2C999E01" w14:textId="77777777" w:rsidR="001C5B2D" w:rsidRDefault="001C5B2D" w:rsidP="00F871B4">
      <w:pPr>
        <w:pStyle w:val="Paragraphedeliste"/>
        <w:ind w:left="0"/>
      </w:pPr>
    </w:p>
    <w:p w14:paraId="1C4F60E3" w14:textId="77777777" w:rsidR="001C5B2D" w:rsidRDefault="001C5B2D" w:rsidP="00574AD2">
      <w:pPr>
        <w:pStyle w:val="Paragraphedeliste"/>
        <w:numPr>
          <w:ilvl w:val="0"/>
          <w:numId w:val="15"/>
        </w:numPr>
      </w:pPr>
      <w:r>
        <w:t>Le rappel de la protection sociale statutaire</w:t>
      </w:r>
    </w:p>
    <w:p w14:paraId="2C4493BF" w14:textId="77777777" w:rsidR="00F871B4" w:rsidRDefault="00F871B4" w:rsidP="00F871B4">
      <w:pPr>
        <w:pStyle w:val="Paragraphedeliste"/>
        <w:ind w:left="0"/>
      </w:pPr>
    </w:p>
    <w:p w14:paraId="5DE4D177" w14:textId="77777777" w:rsidR="001C5B2D" w:rsidRDefault="001C5B2D" w:rsidP="00F871B4">
      <w:pPr>
        <w:pStyle w:val="Paragraphedeliste"/>
        <w:ind w:left="0"/>
      </w:pPr>
    </w:p>
    <w:p w14:paraId="2E449C39" w14:textId="77777777" w:rsidR="001C5B2D" w:rsidRDefault="001C5B2D" w:rsidP="00F871B4">
      <w:pPr>
        <w:pStyle w:val="Paragraphedeliste"/>
        <w:ind w:left="0"/>
      </w:pPr>
    </w:p>
    <w:p w14:paraId="1929EFF4" w14:textId="433E486F" w:rsidR="00C97F48" w:rsidRDefault="00F871B4" w:rsidP="00574AD2">
      <w:pPr>
        <w:pStyle w:val="Paragraphedeliste"/>
        <w:numPr>
          <w:ilvl w:val="0"/>
          <w:numId w:val="15"/>
        </w:numPr>
      </w:pPr>
      <w:r>
        <w:t>La nature des garanties envisagées</w:t>
      </w:r>
      <w:r w:rsidR="00C97F48">
        <w:t> </w:t>
      </w:r>
    </w:p>
    <w:p w14:paraId="78E734C9" w14:textId="79827D09" w:rsidR="00C97F48" w:rsidRDefault="00C97F48" w:rsidP="00C97F48">
      <w:pPr>
        <w:pStyle w:val="Paragraphedeliste"/>
        <w:ind w:left="0"/>
      </w:pPr>
    </w:p>
    <w:p w14:paraId="1E03CDF0" w14:textId="77777777" w:rsidR="00AA0EA8" w:rsidRDefault="00AA0EA8" w:rsidP="00C97F48">
      <w:pPr>
        <w:pStyle w:val="Paragraphedeliste"/>
        <w:ind w:left="0"/>
      </w:pPr>
    </w:p>
    <w:p w14:paraId="58E0F85B" w14:textId="77777777" w:rsidR="00C97F48" w:rsidRDefault="00C97F48" w:rsidP="00C97F48">
      <w:pPr>
        <w:pStyle w:val="Paragraphedeliste"/>
        <w:ind w:left="0"/>
      </w:pPr>
    </w:p>
    <w:p w14:paraId="49A4A648" w14:textId="476DA8F5" w:rsidR="00C97F48" w:rsidRDefault="00F871B4" w:rsidP="00574AD2">
      <w:pPr>
        <w:pStyle w:val="Paragraphedeliste"/>
        <w:numPr>
          <w:ilvl w:val="0"/>
          <w:numId w:val="15"/>
        </w:numPr>
      </w:pPr>
      <w:r>
        <w:t>Le niveau de participation et sa trajectoire</w:t>
      </w:r>
      <w:r w:rsidR="00C97F48">
        <w:t> </w:t>
      </w:r>
    </w:p>
    <w:p w14:paraId="4E54BA2B" w14:textId="77777777" w:rsidR="00C97F48" w:rsidRDefault="00C97F48" w:rsidP="00C97F48">
      <w:pPr>
        <w:pStyle w:val="Paragraphedeliste"/>
        <w:ind w:left="0"/>
        <w:jc w:val="both"/>
      </w:pPr>
    </w:p>
    <w:p w14:paraId="2376E75A" w14:textId="77777777" w:rsidR="001C5B2D" w:rsidRDefault="001C5B2D" w:rsidP="00C97F48">
      <w:pPr>
        <w:pStyle w:val="Paragraphedeliste"/>
        <w:ind w:left="0"/>
        <w:jc w:val="both"/>
      </w:pPr>
    </w:p>
    <w:p w14:paraId="23963878" w14:textId="77777777" w:rsidR="001C5B2D" w:rsidRDefault="001C5B2D" w:rsidP="00C97F48">
      <w:pPr>
        <w:pStyle w:val="Paragraphedeliste"/>
        <w:ind w:left="0"/>
        <w:jc w:val="both"/>
      </w:pPr>
    </w:p>
    <w:p w14:paraId="55012617" w14:textId="3C0DECDA" w:rsidR="000D2E34" w:rsidRDefault="00F871B4" w:rsidP="00574AD2">
      <w:pPr>
        <w:pStyle w:val="Paragraphedeliste"/>
        <w:numPr>
          <w:ilvl w:val="0"/>
          <w:numId w:val="15"/>
        </w:numPr>
        <w:spacing w:after="0" w:line="240" w:lineRule="auto"/>
        <w:jc w:val="both"/>
      </w:pPr>
      <w:r>
        <w:t>Le calendrier de mise en œuvre</w:t>
      </w:r>
      <w:r w:rsidR="00C97F48">
        <w:t> </w:t>
      </w:r>
    </w:p>
    <w:p w14:paraId="281F19AC" w14:textId="77777777" w:rsidR="000D2E34" w:rsidRDefault="000D2E34" w:rsidP="000D2E34">
      <w:pPr>
        <w:pStyle w:val="Paragraphedeliste"/>
        <w:spacing w:after="0" w:line="240" w:lineRule="auto"/>
        <w:ind w:left="357"/>
        <w:jc w:val="both"/>
      </w:pPr>
    </w:p>
    <w:bookmarkEnd w:id="0"/>
    <w:p w14:paraId="4C28A2BE" w14:textId="77777777" w:rsidR="008C3D14" w:rsidRDefault="008C3D14" w:rsidP="000D2E34">
      <w:pPr>
        <w:pStyle w:val="Paragraphedeliste"/>
        <w:ind w:left="0"/>
        <w:jc w:val="both"/>
      </w:pPr>
    </w:p>
    <w:sectPr w:rsidR="008C3D14" w:rsidSect="00F5643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4FD47" w14:textId="77777777" w:rsidR="006358EF" w:rsidRDefault="006358EF" w:rsidP="00F871B4">
      <w:r>
        <w:separator/>
      </w:r>
    </w:p>
  </w:endnote>
  <w:endnote w:type="continuationSeparator" w:id="0">
    <w:p w14:paraId="6C88381C" w14:textId="77777777" w:rsidR="006358EF" w:rsidRDefault="006358EF" w:rsidP="00F8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30F9A" w14:textId="77777777" w:rsidR="006358EF" w:rsidRDefault="006358EF" w:rsidP="00F871B4">
      <w:r>
        <w:separator/>
      </w:r>
    </w:p>
  </w:footnote>
  <w:footnote w:type="continuationSeparator" w:id="0">
    <w:p w14:paraId="427D9475" w14:textId="77777777" w:rsidR="006358EF" w:rsidRDefault="006358EF" w:rsidP="00F87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390"/>
    <w:multiLevelType w:val="hybridMultilevel"/>
    <w:tmpl w:val="7F2058DE"/>
    <w:lvl w:ilvl="0" w:tplc="997231B2">
      <w:start w:val="1"/>
      <w:numFmt w:val="bullet"/>
      <w:lvlText w:val=""/>
      <w:lvlJc w:val="left"/>
      <w:pPr>
        <w:ind w:left="720" w:hanging="360"/>
      </w:pPr>
      <w:rPr>
        <w:rFonts w:ascii="Wingdings 3" w:hAnsi="Wingdings 3"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760D01"/>
    <w:multiLevelType w:val="hybridMultilevel"/>
    <w:tmpl w:val="38C659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AF1D3D"/>
    <w:multiLevelType w:val="hybridMultilevel"/>
    <w:tmpl w:val="D06EBDBA"/>
    <w:lvl w:ilvl="0" w:tplc="01E63670">
      <w:start w:val="1"/>
      <w:numFmt w:val="bullet"/>
      <w:lvlText w:val=""/>
      <w:lvlJc w:val="left"/>
      <w:pPr>
        <w:tabs>
          <w:tab w:val="num" w:pos="720"/>
        </w:tabs>
        <w:ind w:left="720" w:hanging="360"/>
      </w:pPr>
      <w:rPr>
        <w:rFonts w:ascii="Wingdings" w:hAnsi="Wingdings" w:hint="default"/>
      </w:rPr>
    </w:lvl>
    <w:lvl w:ilvl="1" w:tplc="B4D03FFE" w:tentative="1">
      <w:start w:val="1"/>
      <w:numFmt w:val="bullet"/>
      <w:lvlText w:val=""/>
      <w:lvlJc w:val="left"/>
      <w:pPr>
        <w:tabs>
          <w:tab w:val="num" w:pos="1440"/>
        </w:tabs>
        <w:ind w:left="1440" w:hanging="360"/>
      </w:pPr>
      <w:rPr>
        <w:rFonts w:ascii="Wingdings" w:hAnsi="Wingdings" w:hint="default"/>
      </w:rPr>
    </w:lvl>
    <w:lvl w:ilvl="2" w:tplc="7D66406E" w:tentative="1">
      <w:start w:val="1"/>
      <w:numFmt w:val="bullet"/>
      <w:lvlText w:val=""/>
      <w:lvlJc w:val="left"/>
      <w:pPr>
        <w:tabs>
          <w:tab w:val="num" w:pos="2160"/>
        </w:tabs>
        <w:ind w:left="2160" w:hanging="360"/>
      </w:pPr>
      <w:rPr>
        <w:rFonts w:ascii="Wingdings" w:hAnsi="Wingdings" w:hint="default"/>
      </w:rPr>
    </w:lvl>
    <w:lvl w:ilvl="3" w:tplc="1278FDE0" w:tentative="1">
      <w:start w:val="1"/>
      <w:numFmt w:val="bullet"/>
      <w:lvlText w:val=""/>
      <w:lvlJc w:val="left"/>
      <w:pPr>
        <w:tabs>
          <w:tab w:val="num" w:pos="2880"/>
        </w:tabs>
        <w:ind w:left="2880" w:hanging="360"/>
      </w:pPr>
      <w:rPr>
        <w:rFonts w:ascii="Wingdings" w:hAnsi="Wingdings" w:hint="default"/>
      </w:rPr>
    </w:lvl>
    <w:lvl w:ilvl="4" w:tplc="15C8DD60" w:tentative="1">
      <w:start w:val="1"/>
      <w:numFmt w:val="bullet"/>
      <w:lvlText w:val=""/>
      <w:lvlJc w:val="left"/>
      <w:pPr>
        <w:tabs>
          <w:tab w:val="num" w:pos="3600"/>
        </w:tabs>
        <w:ind w:left="3600" w:hanging="360"/>
      </w:pPr>
      <w:rPr>
        <w:rFonts w:ascii="Wingdings" w:hAnsi="Wingdings" w:hint="default"/>
      </w:rPr>
    </w:lvl>
    <w:lvl w:ilvl="5" w:tplc="64685ADE" w:tentative="1">
      <w:start w:val="1"/>
      <w:numFmt w:val="bullet"/>
      <w:lvlText w:val=""/>
      <w:lvlJc w:val="left"/>
      <w:pPr>
        <w:tabs>
          <w:tab w:val="num" w:pos="4320"/>
        </w:tabs>
        <w:ind w:left="4320" w:hanging="360"/>
      </w:pPr>
      <w:rPr>
        <w:rFonts w:ascii="Wingdings" w:hAnsi="Wingdings" w:hint="default"/>
      </w:rPr>
    </w:lvl>
    <w:lvl w:ilvl="6" w:tplc="734EE7D0" w:tentative="1">
      <w:start w:val="1"/>
      <w:numFmt w:val="bullet"/>
      <w:lvlText w:val=""/>
      <w:lvlJc w:val="left"/>
      <w:pPr>
        <w:tabs>
          <w:tab w:val="num" w:pos="5040"/>
        </w:tabs>
        <w:ind w:left="5040" w:hanging="360"/>
      </w:pPr>
      <w:rPr>
        <w:rFonts w:ascii="Wingdings" w:hAnsi="Wingdings" w:hint="default"/>
      </w:rPr>
    </w:lvl>
    <w:lvl w:ilvl="7" w:tplc="BCBC0AD2" w:tentative="1">
      <w:start w:val="1"/>
      <w:numFmt w:val="bullet"/>
      <w:lvlText w:val=""/>
      <w:lvlJc w:val="left"/>
      <w:pPr>
        <w:tabs>
          <w:tab w:val="num" w:pos="5760"/>
        </w:tabs>
        <w:ind w:left="5760" w:hanging="360"/>
      </w:pPr>
      <w:rPr>
        <w:rFonts w:ascii="Wingdings" w:hAnsi="Wingdings" w:hint="default"/>
      </w:rPr>
    </w:lvl>
    <w:lvl w:ilvl="8" w:tplc="773472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47825"/>
    <w:multiLevelType w:val="hybridMultilevel"/>
    <w:tmpl w:val="C7523A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633839"/>
    <w:multiLevelType w:val="hybridMultilevel"/>
    <w:tmpl w:val="3FE220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DD7903"/>
    <w:multiLevelType w:val="hybridMultilevel"/>
    <w:tmpl w:val="33BACD94"/>
    <w:lvl w:ilvl="0" w:tplc="211E07F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 w15:restartNumberingAfterBreak="0">
    <w:nsid w:val="46644047"/>
    <w:multiLevelType w:val="hybridMultilevel"/>
    <w:tmpl w:val="3D52BBFC"/>
    <w:lvl w:ilvl="0" w:tplc="040C0001">
      <w:start w:val="1"/>
      <w:numFmt w:val="bullet"/>
      <w:lvlText w:val=""/>
      <w:lvlJc w:val="left"/>
      <w:pPr>
        <w:ind w:left="720" w:hanging="360"/>
      </w:pPr>
      <w:rPr>
        <w:rFonts w:ascii="Symbol" w:hAnsi="Symbol" w:hint="default"/>
        <w:b/>
        <w:bCs/>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F11C9D"/>
    <w:multiLevelType w:val="hybridMultilevel"/>
    <w:tmpl w:val="DDA822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FB22A94"/>
    <w:multiLevelType w:val="hybridMultilevel"/>
    <w:tmpl w:val="677EE4BC"/>
    <w:lvl w:ilvl="0" w:tplc="040C000D">
      <w:start w:val="1"/>
      <w:numFmt w:val="bullet"/>
      <w:lvlText w:val=""/>
      <w:lvlJc w:val="left"/>
      <w:pPr>
        <w:ind w:left="1065" w:hanging="360"/>
      </w:pPr>
      <w:rPr>
        <w:rFonts w:ascii="Wingdings" w:hAnsi="Wingdings"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9" w15:restartNumberingAfterBreak="0">
    <w:nsid w:val="52AD7135"/>
    <w:multiLevelType w:val="hybridMultilevel"/>
    <w:tmpl w:val="B860BD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15778C"/>
    <w:multiLevelType w:val="hybridMultilevel"/>
    <w:tmpl w:val="987430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1A6701D"/>
    <w:multiLevelType w:val="hybridMultilevel"/>
    <w:tmpl w:val="2E328220"/>
    <w:lvl w:ilvl="0" w:tplc="A5263C1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247422"/>
    <w:multiLevelType w:val="hybridMultilevel"/>
    <w:tmpl w:val="3B7EA96C"/>
    <w:lvl w:ilvl="0" w:tplc="997231B2">
      <w:start w:val="1"/>
      <w:numFmt w:val="bullet"/>
      <w:lvlText w:val=""/>
      <w:lvlJc w:val="left"/>
      <w:pPr>
        <w:ind w:left="720" w:hanging="360"/>
      </w:pPr>
      <w:rPr>
        <w:rFonts w:ascii="Wingdings 3" w:hAnsi="Wingdings 3" w:hint="default"/>
        <w:b/>
        <w:bCs/>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E4163D"/>
    <w:multiLevelType w:val="hybridMultilevel"/>
    <w:tmpl w:val="953A79DC"/>
    <w:lvl w:ilvl="0" w:tplc="997231B2">
      <w:start w:val="1"/>
      <w:numFmt w:val="bullet"/>
      <w:lvlText w:val=""/>
      <w:lvlJc w:val="left"/>
      <w:pPr>
        <w:ind w:left="720" w:hanging="360"/>
      </w:pPr>
      <w:rPr>
        <w:rFonts w:ascii="Wingdings 3" w:hAnsi="Wingdings 3"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A2706A"/>
    <w:multiLevelType w:val="hybridMultilevel"/>
    <w:tmpl w:val="AD18EAFC"/>
    <w:lvl w:ilvl="0" w:tplc="040C000D">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B844743"/>
    <w:multiLevelType w:val="hybridMultilevel"/>
    <w:tmpl w:val="3772A2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5"/>
  </w:num>
  <w:num w:numId="4">
    <w:abstractNumId w:val="4"/>
  </w:num>
  <w:num w:numId="5">
    <w:abstractNumId w:val="10"/>
  </w:num>
  <w:num w:numId="6">
    <w:abstractNumId w:val="3"/>
  </w:num>
  <w:num w:numId="7">
    <w:abstractNumId w:val="11"/>
  </w:num>
  <w:num w:numId="8">
    <w:abstractNumId w:val="9"/>
  </w:num>
  <w:num w:numId="9">
    <w:abstractNumId w:val="8"/>
  </w:num>
  <w:num w:numId="10">
    <w:abstractNumId w:val="15"/>
  </w:num>
  <w:num w:numId="11">
    <w:abstractNumId w:val="2"/>
  </w:num>
  <w:num w:numId="12">
    <w:abstractNumId w:val="1"/>
  </w:num>
  <w:num w:numId="13">
    <w:abstractNumId w:val="13"/>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15124"/>
    <w:rsid w:val="00002EA1"/>
    <w:rsid w:val="000D2E34"/>
    <w:rsid w:val="00130E6E"/>
    <w:rsid w:val="001354A4"/>
    <w:rsid w:val="00136011"/>
    <w:rsid w:val="00174BF1"/>
    <w:rsid w:val="001A22B4"/>
    <w:rsid w:val="001C5B2D"/>
    <w:rsid w:val="002009B0"/>
    <w:rsid w:val="0021274D"/>
    <w:rsid w:val="002344D6"/>
    <w:rsid w:val="00275E4B"/>
    <w:rsid w:val="002F1EF2"/>
    <w:rsid w:val="002F732E"/>
    <w:rsid w:val="00366132"/>
    <w:rsid w:val="00371ED4"/>
    <w:rsid w:val="003C1531"/>
    <w:rsid w:val="00425259"/>
    <w:rsid w:val="004B11D4"/>
    <w:rsid w:val="0052431C"/>
    <w:rsid w:val="00532F2F"/>
    <w:rsid w:val="00542551"/>
    <w:rsid w:val="00574AD2"/>
    <w:rsid w:val="00577B61"/>
    <w:rsid w:val="005D0C35"/>
    <w:rsid w:val="00615528"/>
    <w:rsid w:val="006358EF"/>
    <w:rsid w:val="00664B52"/>
    <w:rsid w:val="00696881"/>
    <w:rsid w:val="006B450C"/>
    <w:rsid w:val="006C69B0"/>
    <w:rsid w:val="00780A6B"/>
    <w:rsid w:val="00874868"/>
    <w:rsid w:val="0087688B"/>
    <w:rsid w:val="00887579"/>
    <w:rsid w:val="008C3D14"/>
    <w:rsid w:val="008F3795"/>
    <w:rsid w:val="008F698B"/>
    <w:rsid w:val="009073C8"/>
    <w:rsid w:val="009132AC"/>
    <w:rsid w:val="00937EC6"/>
    <w:rsid w:val="009739B3"/>
    <w:rsid w:val="009A0439"/>
    <w:rsid w:val="009A1459"/>
    <w:rsid w:val="009D57B2"/>
    <w:rsid w:val="00A0246A"/>
    <w:rsid w:val="00A37F93"/>
    <w:rsid w:val="00A4163A"/>
    <w:rsid w:val="00AA0EA8"/>
    <w:rsid w:val="00B43DC6"/>
    <w:rsid w:val="00C631BA"/>
    <w:rsid w:val="00C74F8A"/>
    <w:rsid w:val="00C97F48"/>
    <w:rsid w:val="00D33DFF"/>
    <w:rsid w:val="00D36DC7"/>
    <w:rsid w:val="00DB0482"/>
    <w:rsid w:val="00DC0EA9"/>
    <w:rsid w:val="00E645ED"/>
    <w:rsid w:val="00EE5F51"/>
    <w:rsid w:val="00F15124"/>
    <w:rsid w:val="00F52773"/>
    <w:rsid w:val="00F56437"/>
    <w:rsid w:val="00F871B4"/>
    <w:rsid w:val="00FA5C8A"/>
    <w:rsid w:val="00FC7B7A"/>
    <w:rsid w:val="00FD79E9"/>
    <w:rsid w:val="00FE2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A819B"/>
  <w15:docId w15:val="{68557E4A-AF73-4867-931C-772B5ECD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24"/>
    <w:rPr>
      <w:rFonts w:ascii="Times New Roman" w:eastAsia="Times New Roman" w:hAnsi="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F15124"/>
    <w:rPr>
      <w:color w:val="0000FF"/>
      <w:u w:val="single"/>
    </w:rPr>
  </w:style>
  <w:style w:type="paragraph" w:customStyle="1" w:styleId="VuConsidrant">
    <w:name w:val="Vu.Considérant"/>
    <w:basedOn w:val="Normal"/>
    <w:uiPriority w:val="99"/>
    <w:rsid w:val="00F15124"/>
    <w:pPr>
      <w:spacing w:after="140"/>
      <w:jc w:val="both"/>
    </w:pPr>
    <w:rPr>
      <w:rFonts w:ascii="Arial" w:hAnsi="Arial" w:cs="Arial"/>
    </w:rPr>
  </w:style>
  <w:style w:type="paragraph" w:customStyle="1" w:styleId="TiretVuConsidrant">
    <w:name w:val="Tiret Vu.Considérant"/>
    <w:basedOn w:val="VuConsidrant"/>
    <w:uiPriority w:val="99"/>
    <w:rsid w:val="00F15124"/>
    <w:pPr>
      <w:ind w:left="284" w:hanging="284"/>
    </w:pPr>
  </w:style>
  <w:style w:type="paragraph" w:styleId="Sansinterligne">
    <w:name w:val="No Spacing"/>
    <w:link w:val="SansinterligneCar"/>
    <w:uiPriority w:val="99"/>
    <w:qFormat/>
    <w:rsid w:val="00F15124"/>
    <w:rPr>
      <w:rFonts w:ascii="Times New Roman" w:eastAsia="Times New Roman" w:hAnsi="Times New Roman"/>
    </w:rPr>
  </w:style>
  <w:style w:type="character" w:customStyle="1" w:styleId="SansinterligneCar">
    <w:name w:val="Sans interligne Car"/>
    <w:link w:val="Sansinterligne"/>
    <w:uiPriority w:val="99"/>
    <w:rsid w:val="00F15124"/>
    <w:rPr>
      <w:rFonts w:ascii="Times New Roman" w:hAnsi="Times New Roman" w:cs="Times New Roman"/>
      <w:sz w:val="22"/>
      <w:szCs w:val="22"/>
      <w:lang w:eastAsia="fr-FR"/>
    </w:rPr>
  </w:style>
  <w:style w:type="paragraph" w:styleId="Corpsdetexte">
    <w:name w:val="Body Text"/>
    <w:basedOn w:val="Normal"/>
    <w:link w:val="CorpsdetexteCar"/>
    <w:rsid w:val="00FA5C8A"/>
    <w:pPr>
      <w:spacing w:after="120"/>
    </w:pPr>
    <w:rPr>
      <w:sz w:val="18"/>
    </w:rPr>
  </w:style>
  <w:style w:type="character" w:customStyle="1" w:styleId="CorpsdetexteCar">
    <w:name w:val="Corps de texte Car"/>
    <w:basedOn w:val="Policepardfaut"/>
    <w:link w:val="Corpsdetexte"/>
    <w:rsid w:val="00FA5C8A"/>
    <w:rPr>
      <w:rFonts w:ascii="Times New Roman" w:eastAsia="Times New Roman" w:hAnsi="Times New Roman"/>
      <w:sz w:val="18"/>
      <w:szCs w:val="20"/>
    </w:rPr>
  </w:style>
  <w:style w:type="paragraph" w:styleId="Notedefin">
    <w:name w:val="endnote text"/>
    <w:basedOn w:val="Normal"/>
    <w:link w:val="NotedefinCar"/>
    <w:uiPriority w:val="99"/>
    <w:unhideWhenUsed/>
    <w:rsid w:val="00F871B4"/>
    <w:rPr>
      <w:rFonts w:ascii="Calibri" w:eastAsia="Calibri" w:hAnsi="Calibri"/>
      <w:lang w:eastAsia="en-US"/>
    </w:rPr>
  </w:style>
  <w:style w:type="character" w:customStyle="1" w:styleId="NotedefinCar">
    <w:name w:val="Note de fin Car"/>
    <w:basedOn w:val="Policepardfaut"/>
    <w:link w:val="Notedefin"/>
    <w:uiPriority w:val="99"/>
    <w:rsid w:val="00F871B4"/>
    <w:rPr>
      <w:sz w:val="20"/>
      <w:szCs w:val="20"/>
      <w:lang w:eastAsia="en-US"/>
    </w:rPr>
  </w:style>
  <w:style w:type="character" w:styleId="Appeldenotedefin">
    <w:name w:val="endnote reference"/>
    <w:uiPriority w:val="99"/>
    <w:semiHidden/>
    <w:unhideWhenUsed/>
    <w:rsid w:val="00F871B4"/>
    <w:rPr>
      <w:vertAlign w:val="superscript"/>
    </w:rPr>
  </w:style>
  <w:style w:type="paragraph" w:styleId="Paragraphedeliste">
    <w:name w:val="List Paragraph"/>
    <w:basedOn w:val="Normal"/>
    <w:uiPriority w:val="34"/>
    <w:qFormat/>
    <w:rsid w:val="00F871B4"/>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56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1187</Words>
  <Characters>6530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Délibération n°……</vt:lpstr>
    </vt:vector>
  </TitlesOfParts>
  <Company>HP</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Délibération n°……</dc:title>
  <dc:subject/>
  <dc:creator>Celine ROUSSET</dc:creator>
  <cp:keywords/>
  <dc:description/>
  <cp:lastModifiedBy>Sylvie DELORT</cp:lastModifiedBy>
  <cp:revision>3</cp:revision>
  <cp:lastPrinted>2015-11-24T12:30:00Z</cp:lastPrinted>
  <dcterms:created xsi:type="dcterms:W3CDTF">2021-12-21T14:41:00Z</dcterms:created>
  <dcterms:modified xsi:type="dcterms:W3CDTF">2021-12-22T15:34:00Z</dcterms:modified>
</cp:coreProperties>
</file>